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before="156"/>
        <w:jc w:val="left"/>
        <w:textAlignment w:val="baseline"/>
        <w:rPr>
          <w:rFonts w:hint="eastAsia" w:ascii="Arial" w:hAnsi="Arial" w:cs="Arial" w:eastAsiaTheme="minorEastAsia"/>
          <w:b/>
          <w:bCs/>
          <w:kern w:val="0"/>
          <w:sz w:val="24"/>
          <w:lang w:val="en-US" w:eastAsia="zh-CN"/>
        </w:rPr>
      </w:pPr>
      <w:r>
        <w:rPr>
          <w:rFonts w:ascii="Arial" w:hAnsi="Arial" w:cs="Arial"/>
          <w:b/>
          <w:bCs/>
          <w:kern w:val="0"/>
          <w:sz w:val="24"/>
          <w:lang w:val="en-GB"/>
        </w:rPr>
        <w:t>3GPP TSG-RAN WG2 Meeting #</w:t>
      </w:r>
      <w:r>
        <w:rPr>
          <w:rFonts w:hint="eastAsia" w:ascii="Arial" w:hAnsi="Arial" w:cs="Arial"/>
          <w:b/>
          <w:bCs/>
          <w:kern w:val="0"/>
          <w:sz w:val="24"/>
          <w:lang w:val="en-US" w:eastAsia="zh-CN"/>
        </w:rPr>
        <w:t>103bis</w:t>
      </w:r>
      <w:r>
        <w:rPr>
          <w:rFonts w:ascii="Arial" w:hAnsi="Arial" w:cs="Arial"/>
          <w:b/>
          <w:bCs/>
          <w:kern w:val="0"/>
          <w:sz w:val="24"/>
          <w:lang w:val="en-GB"/>
        </w:rPr>
        <w:t xml:space="preserve"> </w:t>
      </w:r>
      <w:r>
        <w:rPr>
          <w:rFonts w:ascii="Arial" w:hAnsi="Arial" w:cs="Arial"/>
          <w:b/>
          <w:bCs/>
          <w:kern w:val="0"/>
          <w:sz w:val="24"/>
          <w:lang w:val="en-GB"/>
        </w:rPr>
        <w:tab/>
      </w:r>
      <w:r>
        <w:rPr>
          <w:rFonts w:hint="eastAsia" w:ascii="Arial" w:hAnsi="Arial" w:cs="Arial"/>
          <w:b/>
          <w:bCs/>
          <w:kern w:val="0"/>
          <w:sz w:val="24"/>
        </w:rPr>
        <w:t xml:space="preserve">                      </w:t>
      </w:r>
      <w:r>
        <w:rPr>
          <w:rFonts w:hint="eastAsia" w:ascii="Arial" w:hAnsi="Arial" w:cs="Arial"/>
          <w:b/>
          <w:bCs/>
          <w:kern w:val="0"/>
          <w:sz w:val="24"/>
          <w:lang w:val="en-US" w:eastAsia="zh-CN"/>
        </w:rPr>
        <w:t xml:space="preserve">   </w:t>
      </w:r>
      <w:r>
        <w:rPr>
          <w:rFonts w:hint="eastAsia" w:ascii="Arial" w:hAnsi="Arial" w:cs="Arial"/>
          <w:b/>
          <w:bCs/>
          <w:kern w:val="0"/>
          <w:sz w:val="24"/>
        </w:rPr>
        <w:t xml:space="preserve">  </w:t>
      </w:r>
      <w:r>
        <w:rPr>
          <w:rFonts w:hint="eastAsia" w:ascii="Arial" w:hAnsi="Arial" w:cs="Arial"/>
          <w:b/>
          <w:bCs/>
          <w:kern w:val="0"/>
          <w:sz w:val="24"/>
          <w:lang w:val="en-GB"/>
        </w:rPr>
        <w:t>R2-1</w:t>
      </w:r>
      <w:r>
        <w:rPr>
          <w:rFonts w:hint="eastAsia" w:ascii="Arial" w:hAnsi="Arial" w:cs="Arial"/>
          <w:b/>
          <w:bCs/>
          <w:kern w:val="0"/>
          <w:sz w:val="24"/>
        </w:rPr>
        <w:t>8</w:t>
      </w:r>
      <w:r>
        <w:rPr>
          <w:rFonts w:hint="eastAsia" w:ascii="Arial" w:hAnsi="Arial" w:cs="Arial"/>
          <w:b/>
          <w:bCs/>
          <w:kern w:val="0"/>
          <w:sz w:val="24"/>
          <w:lang w:val="en-US" w:eastAsia="zh-CN"/>
        </w:rPr>
        <w:t>13943</w:t>
      </w:r>
    </w:p>
    <w:p>
      <w:pPr>
        <w:overflowPunct w:val="0"/>
        <w:autoSpaceDE w:val="0"/>
        <w:autoSpaceDN w:val="0"/>
        <w:adjustRightInd w:val="0"/>
        <w:snapToGrid w:val="0"/>
        <w:spacing w:before="156"/>
        <w:jc w:val="left"/>
        <w:textAlignment w:val="baseline"/>
        <w:rPr>
          <w:rFonts w:hint="eastAsia" w:ascii="Arial" w:hAnsi="Arial" w:cs="Arial"/>
          <w:b/>
          <w:bCs/>
          <w:kern w:val="0"/>
          <w:sz w:val="24"/>
          <w:lang w:val="en-US" w:eastAsia="zh-CN"/>
        </w:rPr>
      </w:pPr>
      <w:r>
        <w:rPr>
          <w:rFonts w:hint="eastAsia" w:ascii="Arial" w:hAnsi="Arial" w:cs="Arial"/>
          <w:b/>
          <w:bCs/>
          <w:kern w:val="0"/>
          <w:sz w:val="24"/>
          <w:lang w:val="en-US" w:eastAsia="zh-CN"/>
        </w:rPr>
        <w:t>Chengdu</w:t>
      </w:r>
      <w:r>
        <w:rPr>
          <w:rFonts w:ascii="Arial" w:hAnsi="Arial" w:cs="Arial"/>
          <w:b/>
          <w:bCs/>
          <w:kern w:val="0"/>
          <w:sz w:val="24"/>
          <w:lang w:val="en-GB"/>
        </w:rPr>
        <w:t xml:space="preserve">, </w:t>
      </w:r>
      <w:r>
        <w:rPr>
          <w:rFonts w:hint="eastAsia" w:ascii="Arial" w:hAnsi="Arial" w:cs="Arial"/>
          <w:b/>
          <w:bCs/>
          <w:kern w:val="0"/>
          <w:sz w:val="24"/>
          <w:lang w:val="en-US" w:eastAsia="zh-CN"/>
        </w:rPr>
        <w:t>China</w:t>
      </w:r>
      <w:r>
        <w:rPr>
          <w:rFonts w:ascii="Arial" w:hAnsi="Arial" w:cs="Arial"/>
          <w:b/>
          <w:bCs/>
          <w:kern w:val="0"/>
          <w:sz w:val="24"/>
          <w:lang w:val="en-GB"/>
        </w:rPr>
        <w:t xml:space="preserve">, </w:t>
      </w:r>
      <w:r>
        <w:rPr>
          <w:rFonts w:hint="eastAsia" w:ascii="Arial" w:hAnsi="Arial" w:cs="Arial"/>
          <w:b/>
          <w:bCs/>
          <w:kern w:val="0"/>
          <w:sz w:val="24"/>
          <w:lang w:val="en-US" w:eastAsia="zh-CN"/>
        </w:rPr>
        <w:t>8</w:t>
      </w:r>
      <w:r>
        <w:rPr>
          <w:rFonts w:hint="eastAsia" w:ascii="Arial" w:hAnsi="Arial" w:cs="Arial"/>
          <w:b/>
          <w:bCs/>
          <w:kern w:val="0"/>
          <w:sz w:val="24"/>
          <w:vertAlign w:val="superscript"/>
          <w:lang w:val="en-US" w:eastAsia="zh-CN"/>
        </w:rPr>
        <w:t>th</w:t>
      </w:r>
      <w:r>
        <w:rPr>
          <w:rFonts w:ascii="Arial" w:hAnsi="Arial" w:cs="Arial"/>
          <w:b/>
          <w:bCs/>
          <w:kern w:val="0"/>
          <w:sz w:val="24"/>
          <w:lang w:val="en-GB"/>
        </w:rPr>
        <w:t xml:space="preserve"> – </w:t>
      </w:r>
      <w:r>
        <w:rPr>
          <w:rFonts w:hint="eastAsia" w:ascii="Arial" w:hAnsi="Arial" w:cs="Arial"/>
          <w:b/>
          <w:bCs/>
          <w:kern w:val="0"/>
          <w:sz w:val="24"/>
          <w:lang w:val="en-US" w:eastAsia="zh-CN"/>
        </w:rPr>
        <w:t>12</w:t>
      </w:r>
      <w:r>
        <w:rPr>
          <w:rFonts w:hint="eastAsia" w:ascii="Arial" w:hAnsi="Arial" w:cs="Arial"/>
          <w:b/>
          <w:bCs/>
          <w:kern w:val="0"/>
          <w:sz w:val="24"/>
          <w:vertAlign w:val="superscript"/>
        </w:rPr>
        <w:t>th</w:t>
      </w:r>
      <w:r>
        <w:rPr>
          <w:rFonts w:ascii="Arial" w:hAnsi="Arial" w:cs="Arial"/>
          <w:b/>
          <w:bCs/>
          <w:kern w:val="0"/>
          <w:sz w:val="24"/>
          <w:lang w:val="en-GB"/>
        </w:rPr>
        <w:t xml:space="preserve"> </w:t>
      </w:r>
      <w:r>
        <w:rPr>
          <w:rFonts w:hint="eastAsia" w:ascii="Arial" w:hAnsi="Arial" w:cs="Arial"/>
          <w:b/>
          <w:bCs/>
          <w:kern w:val="0"/>
          <w:sz w:val="24"/>
          <w:lang w:val="en-US" w:eastAsia="zh-CN"/>
        </w:rPr>
        <w:t>Aug</w:t>
      </w:r>
      <w:r>
        <w:rPr>
          <w:rFonts w:hint="eastAsia" w:ascii="Arial" w:hAnsi="Arial" w:cs="Arial"/>
          <w:b/>
          <w:bCs/>
          <w:kern w:val="0"/>
          <w:sz w:val="24"/>
          <w:lang w:val="en-GB"/>
        </w:rPr>
        <w:t xml:space="preserve"> 2018</w:t>
      </w:r>
    </w:p>
    <w:p>
      <w:pPr>
        <w:overflowPunct w:val="0"/>
        <w:autoSpaceDE w:val="0"/>
        <w:autoSpaceDN w:val="0"/>
        <w:adjustRightInd w:val="0"/>
        <w:snapToGrid w:val="0"/>
        <w:spacing w:before="156"/>
        <w:jc w:val="left"/>
        <w:textAlignment w:val="baseline"/>
        <w:rPr>
          <w:rFonts w:ascii="Arial" w:hAnsi="Arial" w:cs="Arial"/>
          <w:b/>
          <w:bCs/>
          <w:snapToGrid w:val="0"/>
          <w:kern w:val="0"/>
          <w:sz w:val="28"/>
          <w:szCs w:val="28"/>
        </w:rPr>
      </w:pPr>
      <w:r>
        <w:rPr>
          <w:rFonts w:hint="eastAsia" w:ascii="Arial" w:hAnsi="Arial" w:cs="Arial"/>
          <w:b/>
          <w:bCs/>
          <w:color w:val="9A9B9D" w:themeColor="background2" w:themeTint="99"/>
          <w:kern w:val="0"/>
          <w:sz w:val="24"/>
          <w:lang w:val="en-GB"/>
          <w14:textFill>
            <w14:solidFill>
              <w14:schemeClr w14:val="bg2">
                <w14:lumMod w14:val="60000"/>
                <w14:lumOff w14:val="40000"/>
              </w14:schemeClr>
            </w14:solidFill>
          </w14:textFill>
        </w:rPr>
        <w:t xml:space="preserve"> </w:t>
      </w:r>
      <w:r>
        <w:rPr>
          <w:rFonts w:hint="eastAsia" w:ascii="Arial" w:hAnsi="Arial" w:cs="Arial"/>
          <w:b/>
          <w:bCs/>
          <w:color w:val="9A9B9D" w:themeColor="background2" w:themeTint="99"/>
          <w:kern w:val="0"/>
          <w:sz w:val="28"/>
          <w:szCs w:val="28"/>
          <w14:textFill>
            <w14:solidFill>
              <w14:schemeClr w14:val="bg2">
                <w14:lumMod w14:val="60000"/>
                <w14:lumOff w14:val="40000"/>
              </w14:schemeClr>
            </w14:solidFill>
          </w14:textFill>
        </w:rPr>
        <w:tab/>
      </w:r>
      <w:r>
        <w:rPr>
          <w:rFonts w:hint="eastAsia" w:ascii="Arial" w:hAnsi="Arial" w:cs="Arial"/>
          <w:b/>
          <w:bCs/>
          <w:kern w:val="0"/>
          <w:sz w:val="28"/>
          <w:szCs w:val="28"/>
        </w:rPr>
        <w:tab/>
      </w:r>
      <w:r>
        <w:rPr>
          <w:rFonts w:hint="eastAsia" w:ascii="Arial" w:hAnsi="Arial" w:cs="Arial"/>
          <w:b/>
          <w:bCs/>
          <w:kern w:val="0"/>
          <w:sz w:val="28"/>
          <w:szCs w:val="28"/>
        </w:rPr>
        <w:tab/>
      </w:r>
      <w:r>
        <w:rPr>
          <w:rFonts w:hint="eastAsia" w:ascii="Arial" w:hAnsi="Arial" w:cs="Arial"/>
          <w:b/>
          <w:bCs/>
          <w:kern w:val="0"/>
          <w:sz w:val="28"/>
          <w:szCs w:val="28"/>
        </w:rPr>
        <w:tab/>
      </w:r>
      <w:r>
        <w:rPr>
          <w:rFonts w:hint="eastAsia" w:ascii="Arial" w:hAnsi="Arial" w:cs="Arial"/>
          <w:b/>
          <w:bCs/>
          <w:kern w:val="0"/>
          <w:sz w:val="28"/>
          <w:szCs w:val="28"/>
        </w:rPr>
        <w:t xml:space="preserve">      </w:t>
      </w:r>
    </w:p>
    <w:p>
      <w:pPr>
        <w:overflowPunct w:val="0"/>
        <w:autoSpaceDE w:val="0"/>
        <w:autoSpaceDN w:val="0"/>
        <w:adjustRightInd w:val="0"/>
        <w:snapToGrid w:val="0"/>
        <w:spacing w:before="156"/>
        <w:jc w:val="left"/>
        <w:textAlignment w:val="baseline"/>
        <w:rPr>
          <w:rFonts w:hint="eastAsia" w:ascii="Arial" w:hAnsi="Arial" w:cs="Arial" w:eastAsiaTheme="minorEastAsia"/>
          <w:b/>
          <w:bCs/>
          <w:snapToGrid w:val="0"/>
          <w:kern w:val="0"/>
          <w:sz w:val="24"/>
          <w:lang w:val="en-US" w:eastAsia="zh-CN"/>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w:t>
      </w:r>
      <w:r>
        <w:rPr>
          <w:rFonts w:hint="eastAsia" w:ascii="Arial" w:hAnsi="Arial" w:cs="Arial"/>
          <w:b/>
          <w:bCs/>
          <w:snapToGrid w:val="0"/>
          <w:kern w:val="0"/>
          <w:sz w:val="24"/>
        </w:rPr>
        <w:t xml:space="preserve"> Corporation</w:t>
      </w:r>
      <w:r>
        <w:rPr>
          <w:rFonts w:hint="eastAsia" w:ascii="Arial" w:hAnsi="Arial" w:cs="Arial"/>
          <w:b/>
          <w:bCs/>
          <w:snapToGrid w:val="0"/>
          <w:kern w:val="0"/>
          <w:sz w:val="24"/>
          <w:lang w:val="en-US" w:eastAsia="zh-CN"/>
        </w:rPr>
        <w:t>, Sanechips</w:t>
      </w:r>
    </w:p>
    <w:p>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Further clarification on SFTD measurement</w:t>
      </w:r>
      <w:r>
        <w:rPr>
          <w:rFonts w:hint="eastAsia" w:ascii="Arial" w:hAnsi="Arial" w:cs="Arial"/>
          <w:b/>
          <w:bCs/>
          <w:snapToGrid w:val="0"/>
          <w:kern w:val="0"/>
          <w:sz w:val="24"/>
        </w:rPr>
        <w:t xml:space="preserve"> </w:t>
      </w:r>
      <w:r>
        <w:rPr>
          <w:rFonts w:ascii="Arial" w:hAnsi="Arial" w:cs="Arial"/>
          <w:b/>
          <w:bCs/>
          <w:snapToGrid w:val="0"/>
          <w:kern w:val="0"/>
          <w:sz w:val="24"/>
        </w:rPr>
        <w:t xml:space="preserve"> </w:t>
      </w:r>
    </w:p>
    <w:p>
      <w:pPr>
        <w:overflowPunct w:val="0"/>
        <w:autoSpaceDE w:val="0"/>
        <w:autoSpaceDN w:val="0"/>
        <w:adjustRightInd w:val="0"/>
        <w:snapToGrid w:val="0"/>
        <w:spacing w:before="156"/>
        <w:jc w:val="left"/>
        <w:textAlignment w:val="baseline"/>
        <w:rPr>
          <w:rFonts w:hint="eastAsia"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10.</w:t>
      </w:r>
      <w:r>
        <w:rPr>
          <w:rFonts w:hint="eastAsia" w:ascii="Arial" w:hAnsi="Arial" w:cs="Arial"/>
          <w:b/>
          <w:bCs/>
          <w:snapToGrid w:val="0"/>
          <w:kern w:val="0"/>
          <w:sz w:val="24"/>
          <w:lang w:val="en-US" w:eastAsia="zh-CN"/>
        </w:rPr>
        <w:t>4.1.4.1</w:t>
      </w:r>
    </w:p>
    <w:p>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156"/>
        <w:rPr>
          <w:rFonts w:hint="eastAsia"/>
          <w:lang w:val="en-US" w:eastAsia="zh-CN"/>
        </w:rPr>
      </w:pPr>
      <w:r>
        <w:rPr>
          <w:rFonts w:hint="eastAsia"/>
          <w:lang w:val="en-US" w:eastAsia="zh-CN"/>
        </w:rPr>
        <w:t>In current specification, for SFTD measurement in EN-DC, it is clear that the expected measured NR frequency will be indicated in measObjectNR when reportSFTD-Meas is set to neighborCells; however, when reportSFTD-Meas is set to PSCell, it is not clear which frequency should be indicated in the associated measObject.</w:t>
      </w:r>
    </w:p>
    <w:p>
      <w:pPr>
        <w:spacing w:before="156"/>
        <w:rPr>
          <w:lang w:val="en-US"/>
        </w:rPr>
      </w:pPr>
      <w:r>
        <w:rPr>
          <w:rFonts w:hint="eastAsia"/>
          <w:lang w:val="en-US" w:eastAsia="zh-CN"/>
        </w:rPr>
        <w:t>In this contribution, we discussed this issue and shared our views.</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Discussion</w:t>
      </w:r>
    </w:p>
    <w:p>
      <w:pPr>
        <w:spacing w:before="156"/>
        <w:rPr>
          <w:rFonts w:hint="eastAsia"/>
          <w:lang w:val="en-US" w:eastAsia="zh-CN"/>
        </w:rPr>
      </w:pPr>
      <w:r>
        <w:rPr>
          <w:rFonts w:hint="eastAsia"/>
          <w:lang w:val="en-US" w:eastAsia="zh-CN"/>
        </w:rPr>
        <w:t>In EN-DC, in order to retrieve the timing difference between LTE PCell and NR cell, SFTD measurement has been introduced, compared with SSTD measurement, two sub types can be supported at least in EN-DC:</w:t>
      </w:r>
    </w:p>
    <w:p>
      <w:pPr>
        <w:spacing w:before="156"/>
        <w:rPr>
          <w:rFonts w:hint="eastAsia"/>
          <w:lang w:val="en-US" w:eastAsia="zh-CN"/>
        </w:rPr>
      </w:pPr>
      <w:r>
        <w:rPr>
          <w:rFonts w:hint="eastAsia"/>
          <w:lang w:val="en-US" w:eastAsia="zh-CN"/>
        </w:rPr>
        <w:t>Type1: SFTD measurement between LTE PCell and NR PSCell;</w:t>
      </w:r>
    </w:p>
    <w:p>
      <w:pPr>
        <w:spacing w:before="156"/>
        <w:rPr>
          <w:rFonts w:hint="eastAsia"/>
          <w:lang w:val="en-US" w:eastAsia="zh-CN"/>
        </w:rPr>
      </w:pPr>
      <w:r>
        <w:rPr>
          <w:rFonts w:hint="eastAsia"/>
          <w:lang w:val="en-US" w:eastAsia="zh-CN"/>
        </w:rPr>
        <w:t>Type2: SFTD measurement between LTE PCell and NR neighbour cell(s).</w:t>
      </w:r>
    </w:p>
    <w:p>
      <w:pPr>
        <w:spacing w:before="156"/>
        <w:rPr>
          <w:rFonts w:hint="eastAsia"/>
          <w:lang w:val="en-US" w:eastAsia="zh-CN"/>
        </w:rPr>
      </w:pPr>
      <w:r>
        <w:rPr>
          <w:rFonts w:hint="eastAsia"/>
          <w:lang w:val="en-US" w:eastAsia="zh-CN"/>
        </w:rPr>
        <w:t xml:space="preserve">Regarding type2, if </w:t>
      </w:r>
      <w:r>
        <w:rPr>
          <w:rFonts w:hint="default"/>
          <w:lang w:val="en-US" w:eastAsia="zh-CN"/>
        </w:rPr>
        <w:t>“</w:t>
      </w:r>
      <w:r>
        <w:rPr>
          <w:rFonts w:hint="eastAsia"/>
          <w:i/>
          <w:iCs/>
          <w:lang w:val="en-US" w:eastAsia="zh-CN"/>
        </w:rPr>
        <w:t>cellsForWhichToReportSFTD-r15</w:t>
      </w:r>
      <w:r>
        <w:rPr>
          <w:rFonts w:hint="default"/>
          <w:lang w:val="en-US" w:eastAsia="zh-CN"/>
        </w:rPr>
        <w:t>”</w:t>
      </w:r>
      <w:r>
        <w:rPr>
          <w:rFonts w:hint="eastAsia"/>
          <w:lang w:val="en-US" w:eastAsia="zh-CN"/>
        </w:rPr>
        <w:t xml:space="preserve"> is indicated in associated measObjectNR, the UE is required to measure/report SFTD between PCell and the indicated NR cells; otherwise, the UE is required to measure/report SFTD between PCell and up to 3 strongest NR detected cells. In this case, it is clear that the frequency indicated in this measObjectNR is the expected measured NR frequency. </w:t>
      </w:r>
    </w:p>
    <w:p>
      <w:pPr>
        <w:spacing w:before="156"/>
        <w:rPr>
          <w:rFonts w:hint="eastAsia"/>
          <w:lang w:val="en-US" w:eastAsia="zh-CN"/>
        </w:rPr>
      </w:pPr>
      <w:r>
        <w:rPr>
          <w:rFonts w:hint="eastAsia"/>
          <w:lang w:val="en-US" w:eastAsia="zh-CN"/>
        </w:rPr>
        <w:t xml:space="preserve">However, regarding type1, when </w:t>
      </w:r>
      <w:r>
        <w:rPr>
          <w:lang w:val="en-GB"/>
        </w:rPr>
        <w:t xml:space="preserve">the </w:t>
      </w:r>
      <w:r>
        <w:rPr>
          <w:i/>
          <w:lang w:val="en-GB"/>
        </w:rPr>
        <w:t>reportSFTD-Meas</w:t>
      </w:r>
      <w:r>
        <w:rPr>
          <w:lang w:val="en-GB"/>
        </w:rPr>
        <w:t xml:space="preserve"> is set to </w:t>
      </w:r>
      <w:r>
        <w:rPr>
          <w:i/>
          <w:lang w:val="en-GB"/>
        </w:rPr>
        <w:t>pSCell</w:t>
      </w:r>
      <w:r>
        <w:rPr>
          <w:lang w:val="en-GB"/>
        </w:rPr>
        <w:t xml:space="preserve"> in the associated </w:t>
      </w:r>
      <w:r>
        <w:rPr>
          <w:i w:val="0"/>
          <w:iCs/>
          <w:lang w:val="en-GB"/>
        </w:rPr>
        <w:t>reportConfig</w:t>
      </w:r>
      <w:r>
        <w:rPr>
          <w:rFonts w:hint="eastAsia"/>
          <w:i w:val="0"/>
          <w:iCs/>
          <w:lang w:val="en-US" w:eastAsia="zh-CN"/>
        </w:rPr>
        <w:t xml:space="preserve">, although </w:t>
      </w:r>
      <w:r>
        <w:rPr>
          <w:rFonts w:hint="eastAsia"/>
          <w:lang w:val="en-US" w:eastAsia="zh-CN"/>
        </w:rPr>
        <w:t>from UE</w:t>
      </w:r>
      <w:r>
        <w:rPr>
          <w:rFonts w:hint="default"/>
          <w:lang w:val="en-US" w:eastAsia="zh-CN"/>
        </w:rPr>
        <w:t>’</w:t>
      </w:r>
      <w:r>
        <w:rPr>
          <w:rFonts w:hint="eastAsia"/>
          <w:lang w:val="en-US" w:eastAsia="zh-CN"/>
        </w:rPr>
        <w:t>s perspective, it is clear that SFTD between PCell and current PSCell is requested, from network</w:t>
      </w:r>
      <w:r>
        <w:rPr>
          <w:rFonts w:hint="default"/>
          <w:lang w:val="en-US" w:eastAsia="zh-CN"/>
        </w:rPr>
        <w:t>’</w:t>
      </w:r>
      <w:r>
        <w:rPr>
          <w:rFonts w:hint="eastAsia"/>
          <w:lang w:val="en-US" w:eastAsia="zh-CN"/>
        </w:rPr>
        <w:t>s perspective, it is confused which frequency should be indicated in the associated measObjectNR?</w:t>
      </w:r>
    </w:p>
    <w:p>
      <w:pPr>
        <w:spacing w:before="156"/>
        <w:rPr>
          <w:rFonts w:hint="eastAsia"/>
          <w:i w:val="0"/>
          <w:iCs/>
          <w:lang w:val="en-US" w:eastAsia="zh-CN"/>
        </w:rPr>
      </w:pPr>
      <w:r>
        <w:rPr>
          <w:rFonts w:hint="eastAsia"/>
          <w:lang w:val="en-US" w:eastAsia="zh-CN"/>
        </w:rPr>
        <w:t xml:space="preserve">In LTE DC, the interpretation is that the serving frequency of PSCell should be indicated in measObject which associated with SSTD reportConfig. Nevertheless, in EN-DC, upon PSCell addition and SN change, although MN can provide a list of NR measurement results to target SN, the final PSCell is selected by SN node itself. In real deployment, considering the fast SCell addition at SN side, it is likely that MN may provide a list of measurement results involving more than one NR frequencies. According to current specifications, the SN selected PSCell will be indicated in the embedded NR RRC message via X2 interface as well as Uu interface, which means MN may be unaware of final selected PSCell, so it is hard to decide which measObjectNR should be associated with SFTD measurement, when MN wants to get SFTD results between PCell and PSCell.  </w:t>
      </w:r>
      <w:r>
        <w:rPr>
          <w:rFonts w:hint="eastAsia"/>
          <w:i w:val="0"/>
          <w:iCs/>
          <w:lang w:val="en-US" w:eastAsia="zh-CN"/>
        </w:rPr>
        <w:t xml:space="preserve">  </w:t>
      </w:r>
    </w:p>
    <w:p>
      <w:pPr>
        <w:spacing w:before="156"/>
        <w:ind w:left="1265" w:leftChars="0" w:hanging="1265" w:hangingChars="600"/>
        <w:rPr>
          <w:rFonts w:hint="eastAsia"/>
          <w:lang w:val="en-US" w:eastAsia="zh-CN"/>
        </w:rPr>
      </w:pPr>
      <w:r>
        <w:rPr>
          <w:rFonts w:hint="eastAsia"/>
          <w:b/>
          <w:lang w:val="en-US" w:eastAsia="zh-CN"/>
        </w:rPr>
        <w:t>Observation1</w:t>
      </w:r>
      <w:r>
        <w:rPr>
          <w:rFonts w:hint="eastAsia"/>
          <w:b/>
        </w:rPr>
        <w:t xml:space="preserve">: </w:t>
      </w:r>
      <w:r>
        <w:rPr>
          <w:rFonts w:hint="eastAsia"/>
          <w:b/>
          <w:lang w:val="en-US" w:eastAsia="zh-CN"/>
        </w:rPr>
        <w:t>In EN-DC, when network wants to obtain SFTD measurement result between PCell and PSCell, it is unclear which frequency should be included in the measObjectNR, because MN may be unaware of the frequency of PSCell.</w:t>
      </w:r>
    </w:p>
    <w:p>
      <w:pPr>
        <w:spacing w:before="156"/>
        <w:rPr>
          <w:rFonts w:hint="eastAsia"/>
          <w:i w:val="0"/>
          <w:iCs/>
          <w:lang w:val="en-US" w:eastAsia="zh-CN"/>
        </w:rPr>
      </w:pPr>
      <w:r>
        <w:rPr>
          <w:rFonts w:hint="eastAsia"/>
          <w:i w:val="0"/>
          <w:iCs/>
          <w:lang w:val="en-US" w:eastAsia="zh-CN"/>
        </w:rPr>
        <w:t>In order to solve this problem, following solutions can be taken into consideration:</w:t>
      </w:r>
    </w:p>
    <w:p>
      <w:pPr>
        <w:spacing w:before="156"/>
        <w:ind w:left="1056" w:leftChars="0" w:hanging="1056" w:hangingChars="503"/>
        <w:rPr>
          <w:rFonts w:hint="eastAsia"/>
          <w:i w:val="0"/>
          <w:iCs/>
          <w:lang w:val="en-US" w:eastAsia="zh-CN"/>
        </w:rPr>
      </w:pPr>
      <w:r>
        <w:rPr>
          <w:rFonts w:hint="eastAsia"/>
          <w:i w:val="0"/>
          <w:iCs/>
          <w:lang w:val="en-US" w:eastAsia="zh-CN"/>
        </w:rPr>
        <w:t>Solution1:</w:t>
      </w:r>
      <w:r>
        <w:rPr>
          <w:rFonts w:hint="eastAsia"/>
          <w:i w:val="0"/>
          <w:iCs/>
          <w:lang w:val="en-US" w:eastAsia="zh-CN"/>
        </w:rPr>
        <w:tab/>
      </w:r>
      <w:r>
        <w:rPr>
          <w:rFonts w:hint="eastAsia"/>
          <w:i w:val="0"/>
          <w:iCs/>
          <w:lang w:val="en-US" w:eastAsia="zh-CN"/>
        </w:rPr>
        <w:t xml:space="preserve">MN can indicate the frequency of </w:t>
      </w:r>
      <w:r>
        <w:rPr>
          <w:rFonts w:hint="eastAsia"/>
          <w:i w:val="0"/>
          <w:iCs/>
          <w:u w:val="single"/>
          <w:lang w:val="en-US" w:eastAsia="zh-CN"/>
        </w:rPr>
        <w:t>LTE PCell</w:t>
      </w:r>
      <w:r>
        <w:rPr>
          <w:rFonts w:hint="eastAsia"/>
          <w:i w:val="0"/>
          <w:iCs/>
          <w:lang w:val="en-US" w:eastAsia="zh-CN"/>
        </w:rPr>
        <w:t xml:space="preserve"> in associated measObject, when </w:t>
      </w:r>
      <w:r>
        <w:rPr>
          <w:i/>
          <w:lang w:val="en-GB"/>
        </w:rPr>
        <w:t>reportSFTD-Meas</w:t>
      </w:r>
      <w:r>
        <w:rPr>
          <w:lang w:val="en-GB"/>
        </w:rPr>
        <w:t xml:space="preserve"> is set to </w:t>
      </w:r>
      <w:r>
        <w:rPr>
          <w:i/>
          <w:lang w:val="en-GB"/>
        </w:rPr>
        <w:t>pSCell</w:t>
      </w:r>
      <w:r>
        <w:rPr>
          <w:rFonts w:hint="eastAsia"/>
          <w:i w:val="0"/>
          <w:iCs/>
          <w:lang w:val="en-US" w:eastAsia="zh-CN"/>
        </w:rPr>
        <w:t>;</w:t>
      </w:r>
    </w:p>
    <w:p>
      <w:pPr>
        <w:spacing w:before="156"/>
        <w:ind w:left="1056" w:leftChars="0" w:hanging="1056" w:hangingChars="503"/>
        <w:rPr>
          <w:rFonts w:hint="eastAsia"/>
          <w:i w:val="0"/>
          <w:iCs/>
          <w:lang w:val="en-US" w:eastAsia="zh-CN"/>
        </w:rPr>
      </w:pPr>
      <w:r>
        <w:rPr>
          <w:rFonts w:hint="eastAsia"/>
          <w:i w:val="0"/>
          <w:iCs/>
          <w:lang w:val="en-US" w:eastAsia="zh-CN"/>
        </w:rPr>
        <w:t xml:space="preserve">Solution2: </w:t>
      </w:r>
      <w:r>
        <w:rPr>
          <w:rFonts w:hint="eastAsia"/>
          <w:i w:val="0"/>
          <w:iCs/>
          <w:lang w:val="en-US" w:eastAsia="zh-CN"/>
        </w:rPr>
        <w:tab/>
      </w:r>
      <w:r>
        <w:rPr>
          <w:rFonts w:hint="eastAsia"/>
          <w:i w:val="0"/>
          <w:iCs/>
          <w:lang w:val="en-US" w:eastAsia="zh-CN"/>
        </w:rPr>
        <w:t xml:space="preserve">MN can indicate the frequency of </w:t>
      </w:r>
      <w:r>
        <w:rPr>
          <w:rFonts w:hint="eastAsia"/>
          <w:i w:val="0"/>
          <w:iCs/>
          <w:u w:val="single"/>
          <w:lang w:val="en-US" w:eastAsia="zh-CN"/>
        </w:rPr>
        <w:t>NR PSCell</w:t>
      </w:r>
      <w:r>
        <w:rPr>
          <w:rFonts w:hint="eastAsia"/>
          <w:i w:val="0"/>
          <w:iCs/>
          <w:lang w:val="en-US" w:eastAsia="zh-CN"/>
        </w:rPr>
        <w:t xml:space="preserve"> in associated measObject, when </w:t>
      </w:r>
      <w:r>
        <w:rPr>
          <w:i/>
          <w:lang w:val="en-GB"/>
        </w:rPr>
        <w:t>reportSFTD-Meas</w:t>
      </w:r>
      <w:r>
        <w:rPr>
          <w:lang w:val="en-GB"/>
        </w:rPr>
        <w:t xml:space="preserve"> is set to </w:t>
      </w:r>
      <w:r>
        <w:rPr>
          <w:i/>
          <w:lang w:val="en-GB"/>
        </w:rPr>
        <w:t>pSCell</w:t>
      </w:r>
      <w:r>
        <w:rPr>
          <w:rFonts w:hint="eastAsia"/>
          <w:i w:val="0"/>
          <w:iCs/>
          <w:lang w:val="en-US" w:eastAsia="zh-CN"/>
        </w:rPr>
        <w:t xml:space="preserve">; it implies that SN should inform the frequency of selected PSCell to MN. </w:t>
      </w:r>
    </w:p>
    <w:p>
      <w:pPr>
        <w:spacing w:before="156"/>
        <w:ind w:left="1056" w:leftChars="0" w:hanging="1056" w:hangingChars="503"/>
        <w:rPr>
          <w:rFonts w:hint="eastAsia"/>
          <w:i w:val="0"/>
          <w:iCs/>
          <w:lang w:val="en-US" w:eastAsia="zh-CN"/>
        </w:rPr>
      </w:pPr>
      <w:r>
        <w:rPr>
          <w:rFonts w:hint="eastAsia"/>
          <w:i w:val="0"/>
          <w:iCs/>
          <w:lang w:val="en-US" w:eastAsia="zh-CN"/>
        </w:rPr>
        <w:t xml:space="preserve">Solution3: </w:t>
      </w:r>
      <w:r>
        <w:rPr>
          <w:rFonts w:hint="eastAsia"/>
          <w:i w:val="0"/>
          <w:iCs/>
          <w:lang w:val="en-US" w:eastAsia="zh-CN"/>
        </w:rPr>
        <w:tab/>
      </w:r>
      <w:r>
        <w:rPr>
          <w:rFonts w:hint="eastAsia"/>
          <w:i w:val="0"/>
          <w:iCs/>
          <w:lang w:val="en-US" w:eastAsia="zh-CN"/>
        </w:rPr>
        <w:t xml:space="preserve">MN can indicate any NR frequency in the associated measObject, when </w:t>
      </w:r>
      <w:r>
        <w:rPr>
          <w:i/>
          <w:lang w:val="en-GB"/>
        </w:rPr>
        <w:t>reportSFTD-Meas</w:t>
      </w:r>
      <w:r>
        <w:rPr>
          <w:lang w:val="en-GB"/>
        </w:rPr>
        <w:t xml:space="preserve"> is set to </w:t>
      </w:r>
      <w:r>
        <w:rPr>
          <w:i/>
          <w:lang w:val="en-GB"/>
        </w:rPr>
        <w:t>pSCell</w:t>
      </w:r>
      <w:r>
        <w:rPr>
          <w:rFonts w:hint="eastAsia"/>
          <w:i w:val="0"/>
          <w:iCs/>
          <w:lang w:val="en-US" w:eastAsia="zh-CN"/>
        </w:rPr>
        <w:t>.</w:t>
      </w:r>
    </w:p>
    <w:p>
      <w:pPr>
        <w:spacing w:before="156"/>
        <w:rPr>
          <w:rFonts w:hint="eastAsia"/>
          <w:i w:val="0"/>
          <w:iCs/>
          <w:lang w:val="en-US" w:eastAsia="zh-CN"/>
        </w:rPr>
      </w:pPr>
      <w:r>
        <w:rPr>
          <w:rFonts w:hint="eastAsia"/>
          <w:i w:val="0"/>
          <w:iCs/>
          <w:lang w:val="en-US" w:eastAsia="zh-CN"/>
        </w:rPr>
        <w:t>As we seen, the advantage of solution1 is that the information of PSCell can still keep transparent to MN, and there is no impact to current ASN.1, but the drawback is that network has to configure an inter-RAT reportConfig associated with an intra-RAT measObject, which breaks the basic principle of RRM. Similarly, the disadvantage of Solution3 is to force MN to configure an fake NR MO when there is no actual NR measurement(e.g. B1/B2) requirement.</w:t>
      </w:r>
    </w:p>
    <w:p>
      <w:pPr>
        <w:spacing w:before="156"/>
        <w:rPr>
          <w:rFonts w:hint="eastAsia"/>
          <w:i w:val="0"/>
          <w:iCs/>
          <w:lang w:val="en-US" w:eastAsia="zh-CN"/>
        </w:rPr>
      </w:pPr>
      <w:r>
        <w:rPr>
          <w:rFonts w:hint="eastAsia"/>
          <w:i w:val="0"/>
          <w:iCs/>
          <w:lang w:val="en-US" w:eastAsia="zh-CN"/>
        </w:rPr>
        <w:t>Thereby, solution2 looks more natural and it follows the same principle as in LTE DC. So we suggest to adopt Solution2 in EN-DC.</w:t>
      </w:r>
    </w:p>
    <w:p>
      <w:pPr>
        <w:spacing w:before="156" w:after="156" w:afterLines="50"/>
        <w:ind w:left="1202" w:hanging="1202" w:hangingChars="570"/>
        <w:rPr>
          <w:rFonts w:hint="eastAsia"/>
          <w:i w:val="0"/>
          <w:iCs/>
          <w:lang w:val="en-US" w:eastAsia="zh-CN"/>
        </w:rPr>
      </w:pPr>
      <w:r>
        <w:rPr>
          <w:rFonts w:hint="eastAsia"/>
          <w:b/>
          <w:lang w:val="en-US" w:eastAsia="zh-CN"/>
        </w:rPr>
        <w:t>Proposal 1</w:t>
      </w:r>
      <w:r>
        <w:rPr>
          <w:rFonts w:hint="eastAsia"/>
          <w:b/>
        </w:rPr>
        <w:t xml:space="preserve">: </w:t>
      </w:r>
      <w:r>
        <w:rPr>
          <w:rFonts w:hint="eastAsia"/>
          <w:b/>
          <w:lang w:val="en-US" w:eastAsia="zh-CN"/>
        </w:rPr>
        <w:tab/>
      </w:r>
      <w:r>
        <w:rPr>
          <w:rFonts w:hint="eastAsia"/>
          <w:b/>
          <w:lang w:val="en-US" w:eastAsia="zh-CN"/>
        </w:rPr>
        <w:t>In EN-DC, when reportSFTD-Meas is set to PSCell, MN should include the frequency of PSCell in the associated MeasObjectNR.</w:t>
      </w:r>
    </w:p>
    <w:p>
      <w:pPr>
        <w:spacing w:before="156"/>
        <w:rPr>
          <w:rFonts w:hint="eastAsia"/>
          <w:lang w:val="en-US" w:eastAsia="zh-CN"/>
        </w:rPr>
      </w:pPr>
      <w:r>
        <w:rPr>
          <w:rFonts w:hint="eastAsia"/>
          <w:i w:val="0"/>
          <w:iCs/>
          <w:lang w:val="en-US" w:eastAsia="zh-CN"/>
        </w:rPr>
        <w:t xml:space="preserve">To facilitate solution2, SN is required to inform the frequency of selected PSCell to MN upon PSCell Addition procedure. </w:t>
      </w:r>
      <w:r>
        <w:rPr>
          <w:rFonts w:hint="eastAsia"/>
          <w:lang w:val="en-US" w:eastAsia="zh-CN"/>
        </w:rPr>
        <w:t>In addition to this, we think it is up to network implementation whether to transfer that information. For example, if the measurement results of candidate PSCells received by SN belonging to a single NR frequency, it is not necessary to send the frequency back to MN.</w:t>
      </w:r>
    </w:p>
    <w:p>
      <w:pPr>
        <w:spacing w:before="156"/>
        <w:rPr>
          <w:rFonts w:hint="eastAsia"/>
          <w:lang w:val="en-US" w:eastAsia="zh-CN"/>
        </w:rPr>
      </w:pPr>
      <w:r>
        <w:rPr>
          <w:rFonts w:hint="eastAsia"/>
          <w:lang w:val="en-US" w:eastAsia="zh-CN"/>
        </w:rPr>
        <w:t xml:space="preserve">Regarding the use cases, at least this information is needed in SN Addition procedure, meanwhile, SN change can be treated as a special triggering of SN addition(i.e. MN will perform SN addition towards target SN). While for intra-SN inter-freq PSCell change, since SN already knows the timing difference between old PSCell and new PSCell, so SN is able to calculate the new SFTD results between PCell and new PSCell by itself. Anyhow, it is up to network implementation whether to indicate this information or not.  </w:t>
      </w:r>
    </w:p>
    <w:p>
      <w:pPr>
        <w:spacing w:before="156" w:after="156" w:afterLines="50"/>
        <w:ind w:left="1202" w:hanging="1202" w:hangingChars="570"/>
        <w:rPr>
          <w:rFonts w:hint="eastAsia"/>
          <w:b/>
          <w:lang w:val="en-US" w:eastAsia="zh-CN"/>
        </w:rPr>
      </w:pPr>
      <w:r>
        <w:rPr>
          <w:rFonts w:hint="eastAsia"/>
          <w:b/>
          <w:lang w:val="en-US" w:eastAsia="zh-CN"/>
        </w:rPr>
        <w:t>Proposal 2</w:t>
      </w:r>
      <w:r>
        <w:rPr>
          <w:rFonts w:hint="eastAsia"/>
          <w:b/>
        </w:rPr>
        <w:t xml:space="preserve">: </w:t>
      </w:r>
      <w:r>
        <w:rPr>
          <w:rFonts w:hint="eastAsia"/>
          <w:b/>
          <w:lang w:val="en-US" w:eastAsia="zh-CN"/>
        </w:rPr>
        <w:tab/>
      </w:r>
      <w:r>
        <w:rPr>
          <w:rFonts w:hint="eastAsia"/>
          <w:b/>
          <w:lang w:val="en-US" w:eastAsia="zh-CN"/>
        </w:rPr>
        <w:t>SN can inform the frequency of selected PSCell to MN at least upon PSCell Addition procedure.</w:t>
      </w:r>
    </w:p>
    <w:p>
      <w:pPr>
        <w:spacing w:before="156"/>
        <w:rPr>
          <w:rFonts w:hint="eastAsia"/>
          <w:lang w:val="en-US" w:eastAsia="zh-CN"/>
        </w:rPr>
      </w:pPr>
      <w:r>
        <w:rPr>
          <w:rFonts w:hint="eastAsia"/>
          <w:lang w:val="en-US" w:eastAsia="zh-CN"/>
        </w:rPr>
        <w:t>For proposal2, two kinds of modifications can be considered, one is to add the relevant IE in X2 interface, the other is to modify the inter-node RRC message(e.g. CG-Config), in our understanding, the second approach is more future proof without RAN3 impacted. The corresponding CR[1] is also provided to capture proposal2.</w:t>
      </w:r>
    </w:p>
    <w:p>
      <w:pPr>
        <w:spacing w:before="156" w:after="156" w:afterLines="50"/>
        <w:ind w:left="1202" w:hanging="1202" w:hangingChars="570"/>
        <w:rPr>
          <w:rFonts w:hint="eastAsia"/>
          <w:lang w:val="en-US" w:eastAsia="zh-CN"/>
        </w:rPr>
      </w:pPr>
      <w:r>
        <w:rPr>
          <w:rFonts w:hint="eastAsia"/>
          <w:b/>
          <w:lang w:val="en-US" w:eastAsia="zh-CN"/>
        </w:rPr>
        <w:t>Proposal 3</w:t>
      </w:r>
      <w:r>
        <w:rPr>
          <w:rFonts w:hint="eastAsia"/>
          <w:b/>
        </w:rPr>
        <w:t xml:space="preserve">: </w:t>
      </w:r>
      <w:r>
        <w:rPr>
          <w:rFonts w:hint="eastAsia"/>
          <w:b/>
          <w:lang w:val="en-US" w:eastAsia="zh-CN"/>
        </w:rPr>
        <w:tab/>
      </w:r>
      <w:r>
        <w:rPr>
          <w:rFonts w:hint="eastAsia"/>
          <w:b/>
          <w:lang w:val="en-US" w:eastAsia="zh-CN"/>
        </w:rPr>
        <w:t>Adopt CR[1] to introduce the frequency of PSCell in CG-Config INM.</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spacing w:before="156"/>
      </w:pPr>
      <w:r>
        <w:rPr>
          <w:sz w:val="22"/>
        </w:rPr>
        <w:t xml:space="preserve">RAN2 is kindly </w:t>
      </w:r>
      <w:r>
        <w:rPr>
          <w:rFonts w:hint="eastAsia"/>
        </w:rPr>
        <w:t xml:space="preserve">asked </w:t>
      </w:r>
      <w:r>
        <w:rPr>
          <w:sz w:val="22"/>
        </w:rPr>
        <w:t>to discuss and adopt the following proposal</w:t>
      </w:r>
      <w:r>
        <w:t>:</w:t>
      </w:r>
    </w:p>
    <w:p>
      <w:pPr>
        <w:spacing w:before="156"/>
        <w:ind w:left="1265" w:leftChars="0" w:hanging="1265" w:hangingChars="600"/>
        <w:rPr>
          <w:rFonts w:hint="eastAsia"/>
          <w:lang w:val="en-US" w:eastAsia="zh-CN"/>
        </w:rPr>
      </w:pPr>
      <w:r>
        <w:rPr>
          <w:rFonts w:hint="eastAsia"/>
          <w:b/>
          <w:lang w:val="en-US" w:eastAsia="zh-CN"/>
        </w:rPr>
        <w:t>Observation1</w:t>
      </w:r>
      <w:r>
        <w:rPr>
          <w:rFonts w:hint="eastAsia"/>
          <w:b/>
        </w:rPr>
        <w:t xml:space="preserve">: </w:t>
      </w:r>
      <w:r>
        <w:rPr>
          <w:rFonts w:hint="eastAsia"/>
          <w:b/>
          <w:lang w:val="en-US" w:eastAsia="zh-CN"/>
        </w:rPr>
        <w:t>In EN-DC, when network wants to obtain SFTD measurement result between PCell and PSCell, it is unclear which frequency should be included in the measObjectNR, because MN may be unaware of the frequency of PSCell.</w:t>
      </w:r>
    </w:p>
    <w:p>
      <w:pPr>
        <w:spacing w:before="156" w:after="156" w:afterLines="50"/>
        <w:ind w:left="1202" w:hanging="1202" w:hangingChars="570"/>
        <w:rPr>
          <w:rFonts w:hint="eastAsia"/>
          <w:i w:val="0"/>
          <w:iCs/>
          <w:lang w:val="en-US" w:eastAsia="zh-CN"/>
        </w:rPr>
      </w:pPr>
      <w:r>
        <w:rPr>
          <w:rFonts w:hint="eastAsia"/>
          <w:b/>
          <w:lang w:val="en-US" w:eastAsia="zh-CN"/>
        </w:rPr>
        <w:t>Proposal 1</w:t>
      </w:r>
      <w:r>
        <w:rPr>
          <w:rFonts w:hint="eastAsia"/>
          <w:b/>
        </w:rPr>
        <w:t xml:space="preserve">: </w:t>
      </w:r>
      <w:r>
        <w:rPr>
          <w:rFonts w:hint="eastAsia"/>
          <w:b/>
          <w:lang w:val="en-US" w:eastAsia="zh-CN"/>
        </w:rPr>
        <w:tab/>
      </w:r>
      <w:r>
        <w:rPr>
          <w:rFonts w:hint="eastAsia"/>
          <w:b/>
          <w:lang w:val="en-US" w:eastAsia="zh-CN"/>
        </w:rPr>
        <w:t>In EN-DC, when reportSFTD-Meas is set to PSCell, MN should include the frequency of PSCell in the associated MeasObjectNR.</w:t>
      </w:r>
    </w:p>
    <w:p>
      <w:pPr>
        <w:spacing w:before="156" w:after="156" w:afterLines="50"/>
        <w:ind w:left="1202" w:hanging="1202" w:hangingChars="570"/>
        <w:rPr>
          <w:rFonts w:hint="eastAsia"/>
          <w:b/>
          <w:lang w:val="en-US" w:eastAsia="zh-CN"/>
        </w:rPr>
      </w:pPr>
      <w:r>
        <w:rPr>
          <w:rFonts w:hint="eastAsia"/>
          <w:b/>
          <w:lang w:val="en-US" w:eastAsia="zh-CN"/>
        </w:rPr>
        <w:t>Proposal 2</w:t>
      </w:r>
      <w:r>
        <w:rPr>
          <w:rFonts w:hint="eastAsia"/>
          <w:b/>
        </w:rPr>
        <w:t xml:space="preserve">: </w:t>
      </w:r>
      <w:r>
        <w:rPr>
          <w:rFonts w:hint="eastAsia"/>
          <w:b/>
          <w:lang w:val="en-US" w:eastAsia="zh-CN"/>
        </w:rPr>
        <w:tab/>
      </w:r>
      <w:r>
        <w:rPr>
          <w:rFonts w:hint="eastAsia"/>
          <w:b/>
          <w:lang w:val="en-US" w:eastAsia="zh-CN"/>
        </w:rPr>
        <w:t>SN can inform the frequency of selected PSCell to MN at least upon PSCell Addition procedure.</w:t>
      </w:r>
    </w:p>
    <w:p>
      <w:pPr>
        <w:spacing w:before="156" w:after="156" w:afterLines="50"/>
        <w:ind w:left="1202" w:hanging="1202" w:hangingChars="570"/>
      </w:pPr>
      <w:r>
        <w:rPr>
          <w:rFonts w:hint="eastAsia"/>
          <w:b/>
          <w:lang w:val="en-US" w:eastAsia="zh-CN"/>
        </w:rPr>
        <w:t>Proposal 3</w:t>
      </w:r>
      <w:r>
        <w:rPr>
          <w:rFonts w:hint="eastAsia"/>
          <w:b/>
        </w:rPr>
        <w:t xml:space="preserve">: </w:t>
      </w:r>
      <w:r>
        <w:rPr>
          <w:rFonts w:hint="eastAsia"/>
          <w:b/>
          <w:lang w:val="en-US" w:eastAsia="zh-CN"/>
        </w:rPr>
        <w:tab/>
      </w:r>
      <w:r>
        <w:rPr>
          <w:rFonts w:hint="eastAsia"/>
          <w:b/>
          <w:lang w:val="en-US" w:eastAsia="zh-CN"/>
        </w:rPr>
        <w:t>Adopt CR[1] to introduce the frequency of PSCell in CG-Config INM.</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Reference</w:t>
      </w:r>
    </w:p>
    <w:p>
      <w:pPr>
        <w:pStyle w:val="67"/>
        <w:spacing w:before="156"/>
        <w:ind w:left="1478" w:leftChars="0" w:hanging="1478" w:hangingChars="704"/>
        <w:rPr>
          <w:rFonts w:hint="eastAsia"/>
          <w:lang w:val="en-US" w:eastAsia="zh-CN"/>
        </w:rPr>
      </w:pPr>
      <w:r>
        <w:rPr>
          <w:rFonts w:hint="eastAsia"/>
          <w:lang w:val="en-US" w:eastAsia="zh-CN"/>
        </w:rPr>
        <w:t>[1] R2-1813944 CR for introducing PSCell frequency in CG-Config.  ZTE Corporation, Sanechips.  CR   38.331</w:t>
      </w:r>
      <w:bookmarkStart w:id="2" w:name="_GoBack"/>
      <w:bookmarkEnd w:id="2"/>
    </w:p>
    <w:p>
      <w:pPr>
        <w:pStyle w:val="67"/>
        <w:spacing w:before="156"/>
        <w:ind w:firstLine="0" w:firstLineChars="0"/>
        <w:rPr>
          <w:rFonts w:hint="eastAsia"/>
          <w:lang w:val="en-US" w:eastAsia="zh-CN"/>
        </w:rPr>
      </w:pP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libri Light">
    <w:panose1 w:val="020F0302020204030204"/>
    <w:charset w:val="00"/>
    <w:family w:val="auto"/>
    <w:pitch w:val="default"/>
    <w:sig w:usb0="A00002EF" w:usb1="4000207B" w:usb2="00000000" w:usb3="00000000" w:csb0="2000019F" w:csb1="00000000"/>
  </w:font>
  <w:font w:name="等线 Light">
    <w:altName w:val="Segoe Print"/>
    <w:panose1 w:val="00000000000000000000"/>
    <w:charset w:val="00"/>
    <w:family w:val="auto"/>
    <w:pitch w:val="default"/>
    <w:sig w:usb0="00000000" w:usb1="00000000" w:usb2="00000000" w:usb3="00000000" w:csb0="00000000"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roman"/>
    <w:pitch w:val="default"/>
    <w:sig w:usb0="E0002AFF" w:usb1="C0007843"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spacing w:before="120"/>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spacing w:before="120"/>
      <w:rPr>
        <w:rStyle w:val="58"/>
      </w:rPr>
    </w:pPr>
    <w:r>
      <w:rPr>
        <w:rStyle w:val="58"/>
      </w:rPr>
      <w:fldChar w:fldCharType="begin"/>
    </w:r>
    <w:r>
      <w:rPr>
        <w:rStyle w:val="58"/>
      </w:rPr>
      <w:instrText xml:space="preserve">PAGE  </w:instrText>
    </w:r>
    <w:r>
      <w:rPr>
        <w:rStyle w:val="58"/>
      </w:rPr>
      <w:fldChar w:fldCharType="end"/>
    </w:r>
  </w:p>
  <w:p>
    <w:pPr>
      <w:pStyle w:val="38"/>
      <w:spacing w:before="120"/>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55B1"/>
    <w:rsid w:val="000103E7"/>
    <w:rsid w:val="00013FAD"/>
    <w:rsid w:val="00017BA5"/>
    <w:rsid w:val="00021259"/>
    <w:rsid w:val="00021359"/>
    <w:rsid w:val="000248FC"/>
    <w:rsid w:val="0002660A"/>
    <w:rsid w:val="00026899"/>
    <w:rsid w:val="0002698B"/>
    <w:rsid w:val="00035EF9"/>
    <w:rsid w:val="00037973"/>
    <w:rsid w:val="00040A63"/>
    <w:rsid w:val="0004105F"/>
    <w:rsid w:val="00042E6F"/>
    <w:rsid w:val="00043923"/>
    <w:rsid w:val="000439F7"/>
    <w:rsid w:val="000563ED"/>
    <w:rsid w:val="0007093A"/>
    <w:rsid w:val="0007205B"/>
    <w:rsid w:val="000755A8"/>
    <w:rsid w:val="00076B12"/>
    <w:rsid w:val="000804D4"/>
    <w:rsid w:val="0008122E"/>
    <w:rsid w:val="00082CAA"/>
    <w:rsid w:val="00084609"/>
    <w:rsid w:val="000875C4"/>
    <w:rsid w:val="0009084A"/>
    <w:rsid w:val="000915A4"/>
    <w:rsid w:val="0009278C"/>
    <w:rsid w:val="00092939"/>
    <w:rsid w:val="00097209"/>
    <w:rsid w:val="00097368"/>
    <w:rsid w:val="0009777E"/>
    <w:rsid w:val="000A204F"/>
    <w:rsid w:val="000A2A28"/>
    <w:rsid w:val="000A2D0A"/>
    <w:rsid w:val="000A3A4E"/>
    <w:rsid w:val="000A53F5"/>
    <w:rsid w:val="000B21DA"/>
    <w:rsid w:val="000B25A2"/>
    <w:rsid w:val="000B31AA"/>
    <w:rsid w:val="000B38F6"/>
    <w:rsid w:val="000B4B76"/>
    <w:rsid w:val="000B65CB"/>
    <w:rsid w:val="000B780E"/>
    <w:rsid w:val="000C2690"/>
    <w:rsid w:val="000C364E"/>
    <w:rsid w:val="000C5D4C"/>
    <w:rsid w:val="000C7FC7"/>
    <w:rsid w:val="000D18C5"/>
    <w:rsid w:val="000D2BF9"/>
    <w:rsid w:val="000E1125"/>
    <w:rsid w:val="000E1993"/>
    <w:rsid w:val="000E3B8A"/>
    <w:rsid w:val="000F0A7B"/>
    <w:rsid w:val="00100030"/>
    <w:rsid w:val="00111C96"/>
    <w:rsid w:val="00111CE0"/>
    <w:rsid w:val="00111DF0"/>
    <w:rsid w:val="001135C5"/>
    <w:rsid w:val="001147C0"/>
    <w:rsid w:val="001253A3"/>
    <w:rsid w:val="00126145"/>
    <w:rsid w:val="0012673B"/>
    <w:rsid w:val="001277F8"/>
    <w:rsid w:val="00131F75"/>
    <w:rsid w:val="0013288E"/>
    <w:rsid w:val="00134275"/>
    <w:rsid w:val="00137B0E"/>
    <w:rsid w:val="00137D4E"/>
    <w:rsid w:val="001413B6"/>
    <w:rsid w:val="00141835"/>
    <w:rsid w:val="00145AFF"/>
    <w:rsid w:val="00147740"/>
    <w:rsid w:val="00150BAB"/>
    <w:rsid w:val="00160A40"/>
    <w:rsid w:val="001627D9"/>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D2914"/>
    <w:rsid w:val="001D2FB0"/>
    <w:rsid w:val="001E0341"/>
    <w:rsid w:val="001E1C36"/>
    <w:rsid w:val="001E3D8C"/>
    <w:rsid w:val="001E43EF"/>
    <w:rsid w:val="001E44CD"/>
    <w:rsid w:val="001E6F40"/>
    <w:rsid w:val="001F3DF5"/>
    <w:rsid w:val="001F4346"/>
    <w:rsid w:val="00201FFE"/>
    <w:rsid w:val="00202C4B"/>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2518"/>
    <w:rsid w:val="00270A1C"/>
    <w:rsid w:val="00271ED8"/>
    <w:rsid w:val="002730ED"/>
    <w:rsid w:val="00275BC1"/>
    <w:rsid w:val="00281718"/>
    <w:rsid w:val="002855D0"/>
    <w:rsid w:val="00290E18"/>
    <w:rsid w:val="00291D54"/>
    <w:rsid w:val="00296690"/>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6461"/>
    <w:rsid w:val="002D650F"/>
    <w:rsid w:val="002D6E18"/>
    <w:rsid w:val="002E002E"/>
    <w:rsid w:val="002E28F9"/>
    <w:rsid w:val="002E7525"/>
    <w:rsid w:val="002F01CA"/>
    <w:rsid w:val="002F1163"/>
    <w:rsid w:val="002F3161"/>
    <w:rsid w:val="002F5517"/>
    <w:rsid w:val="00305358"/>
    <w:rsid w:val="0030650B"/>
    <w:rsid w:val="00312C1A"/>
    <w:rsid w:val="00312DD1"/>
    <w:rsid w:val="00313308"/>
    <w:rsid w:val="003144CA"/>
    <w:rsid w:val="003171FD"/>
    <w:rsid w:val="00321077"/>
    <w:rsid w:val="00322EDB"/>
    <w:rsid w:val="003268BB"/>
    <w:rsid w:val="00330072"/>
    <w:rsid w:val="00330B4E"/>
    <w:rsid w:val="0033176D"/>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541"/>
    <w:rsid w:val="00385C87"/>
    <w:rsid w:val="00387F14"/>
    <w:rsid w:val="00391402"/>
    <w:rsid w:val="00391F87"/>
    <w:rsid w:val="00393338"/>
    <w:rsid w:val="00394FC5"/>
    <w:rsid w:val="00396952"/>
    <w:rsid w:val="003A150D"/>
    <w:rsid w:val="003A2A06"/>
    <w:rsid w:val="003A3ACC"/>
    <w:rsid w:val="003A4C78"/>
    <w:rsid w:val="003A552B"/>
    <w:rsid w:val="003B132E"/>
    <w:rsid w:val="003B139B"/>
    <w:rsid w:val="003B3A50"/>
    <w:rsid w:val="003B448B"/>
    <w:rsid w:val="003C3E62"/>
    <w:rsid w:val="003D01E0"/>
    <w:rsid w:val="003D0EF8"/>
    <w:rsid w:val="003D1455"/>
    <w:rsid w:val="003D2B72"/>
    <w:rsid w:val="003D42C7"/>
    <w:rsid w:val="003D7765"/>
    <w:rsid w:val="003E1518"/>
    <w:rsid w:val="003E42F6"/>
    <w:rsid w:val="003E48E7"/>
    <w:rsid w:val="003E7C95"/>
    <w:rsid w:val="003E7D68"/>
    <w:rsid w:val="003F1437"/>
    <w:rsid w:val="003F448B"/>
    <w:rsid w:val="003F58F6"/>
    <w:rsid w:val="003F6316"/>
    <w:rsid w:val="00401149"/>
    <w:rsid w:val="00402720"/>
    <w:rsid w:val="00402985"/>
    <w:rsid w:val="00406593"/>
    <w:rsid w:val="004069B2"/>
    <w:rsid w:val="00410408"/>
    <w:rsid w:val="00413229"/>
    <w:rsid w:val="004228A3"/>
    <w:rsid w:val="004229AC"/>
    <w:rsid w:val="00423D3B"/>
    <w:rsid w:val="004245A3"/>
    <w:rsid w:val="00424A48"/>
    <w:rsid w:val="004274EC"/>
    <w:rsid w:val="00427917"/>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2B05"/>
    <w:rsid w:val="004B2BBA"/>
    <w:rsid w:val="004B71F4"/>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F10CA"/>
    <w:rsid w:val="004F4675"/>
    <w:rsid w:val="004F557E"/>
    <w:rsid w:val="00501570"/>
    <w:rsid w:val="005017DA"/>
    <w:rsid w:val="0050411A"/>
    <w:rsid w:val="0050619E"/>
    <w:rsid w:val="005069E2"/>
    <w:rsid w:val="00506B0D"/>
    <w:rsid w:val="00506BCB"/>
    <w:rsid w:val="0051029C"/>
    <w:rsid w:val="005146EB"/>
    <w:rsid w:val="005214BE"/>
    <w:rsid w:val="005219AA"/>
    <w:rsid w:val="00522736"/>
    <w:rsid w:val="00525585"/>
    <w:rsid w:val="0052657B"/>
    <w:rsid w:val="00534869"/>
    <w:rsid w:val="005371D2"/>
    <w:rsid w:val="00537528"/>
    <w:rsid w:val="00542ED7"/>
    <w:rsid w:val="00545A76"/>
    <w:rsid w:val="005506C7"/>
    <w:rsid w:val="005514AA"/>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6D3"/>
    <w:rsid w:val="005E27C0"/>
    <w:rsid w:val="005E4F1C"/>
    <w:rsid w:val="005F097D"/>
    <w:rsid w:val="005F1004"/>
    <w:rsid w:val="005F1FAE"/>
    <w:rsid w:val="005F42AD"/>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5430"/>
    <w:rsid w:val="006D63EF"/>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517C3"/>
    <w:rsid w:val="00751F23"/>
    <w:rsid w:val="007573D2"/>
    <w:rsid w:val="007577AC"/>
    <w:rsid w:val="00760C49"/>
    <w:rsid w:val="007626A2"/>
    <w:rsid w:val="007651F0"/>
    <w:rsid w:val="00765D32"/>
    <w:rsid w:val="007705A1"/>
    <w:rsid w:val="00770F43"/>
    <w:rsid w:val="00771468"/>
    <w:rsid w:val="007719AC"/>
    <w:rsid w:val="00773686"/>
    <w:rsid w:val="00776AD0"/>
    <w:rsid w:val="00787A57"/>
    <w:rsid w:val="00787B7D"/>
    <w:rsid w:val="00792D48"/>
    <w:rsid w:val="00793203"/>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5D4"/>
    <w:rsid w:val="00823AF8"/>
    <w:rsid w:val="00835356"/>
    <w:rsid w:val="00836D5A"/>
    <w:rsid w:val="0083795A"/>
    <w:rsid w:val="00837C9F"/>
    <w:rsid w:val="00843379"/>
    <w:rsid w:val="008436F0"/>
    <w:rsid w:val="00843DAA"/>
    <w:rsid w:val="00843F40"/>
    <w:rsid w:val="008505B6"/>
    <w:rsid w:val="00850AD1"/>
    <w:rsid w:val="00851A3E"/>
    <w:rsid w:val="00852259"/>
    <w:rsid w:val="00853419"/>
    <w:rsid w:val="00855CBD"/>
    <w:rsid w:val="00856F99"/>
    <w:rsid w:val="00860FE6"/>
    <w:rsid w:val="00864D17"/>
    <w:rsid w:val="008719DB"/>
    <w:rsid w:val="00872250"/>
    <w:rsid w:val="008731B8"/>
    <w:rsid w:val="00873D16"/>
    <w:rsid w:val="00880F6C"/>
    <w:rsid w:val="008855E2"/>
    <w:rsid w:val="00886521"/>
    <w:rsid w:val="008937A3"/>
    <w:rsid w:val="0089509A"/>
    <w:rsid w:val="008A4FE1"/>
    <w:rsid w:val="008A5E28"/>
    <w:rsid w:val="008B4198"/>
    <w:rsid w:val="008B4609"/>
    <w:rsid w:val="008B725C"/>
    <w:rsid w:val="008C1D6D"/>
    <w:rsid w:val="008C3F98"/>
    <w:rsid w:val="008D1DAC"/>
    <w:rsid w:val="008D23AF"/>
    <w:rsid w:val="008D3A05"/>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7271"/>
    <w:rsid w:val="00922A9F"/>
    <w:rsid w:val="00925478"/>
    <w:rsid w:val="00925A8F"/>
    <w:rsid w:val="00925D8E"/>
    <w:rsid w:val="009269F5"/>
    <w:rsid w:val="00930CAD"/>
    <w:rsid w:val="009400CF"/>
    <w:rsid w:val="00940533"/>
    <w:rsid w:val="009432FE"/>
    <w:rsid w:val="009438F8"/>
    <w:rsid w:val="00944414"/>
    <w:rsid w:val="0094691D"/>
    <w:rsid w:val="00954F42"/>
    <w:rsid w:val="00957172"/>
    <w:rsid w:val="009578D1"/>
    <w:rsid w:val="00957A33"/>
    <w:rsid w:val="0096003B"/>
    <w:rsid w:val="0096081E"/>
    <w:rsid w:val="0096137E"/>
    <w:rsid w:val="00961E92"/>
    <w:rsid w:val="009647C5"/>
    <w:rsid w:val="0096604F"/>
    <w:rsid w:val="00966280"/>
    <w:rsid w:val="009663C5"/>
    <w:rsid w:val="00971DDC"/>
    <w:rsid w:val="009739F5"/>
    <w:rsid w:val="009755AD"/>
    <w:rsid w:val="009757E0"/>
    <w:rsid w:val="0097718E"/>
    <w:rsid w:val="009800B6"/>
    <w:rsid w:val="00985DB7"/>
    <w:rsid w:val="00986B3C"/>
    <w:rsid w:val="009903A8"/>
    <w:rsid w:val="00991070"/>
    <w:rsid w:val="00992DCD"/>
    <w:rsid w:val="00994702"/>
    <w:rsid w:val="00996E62"/>
    <w:rsid w:val="00997875"/>
    <w:rsid w:val="00997D39"/>
    <w:rsid w:val="00997FD5"/>
    <w:rsid w:val="009A1CA8"/>
    <w:rsid w:val="009A5082"/>
    <w:rsid w:val="009A618E"/>
    <w:rsid w:val="009B155B"/>
    <w:rsid w:val="009B183F"/>
    <w:rsid w:val="009B1F5B"/>
    <w:rsid w:val="009B3DB8"/>
    <w:rsid w:val="009B4769"/>
    <w:rsid w:val="009C2086"/>
    <w:rsid w:val="009C3006"/>
    <w:rsid w:val="009D159F"/>
    <w:rsid w:val="009D1912"/>
    <w:rsid w:val="009D2A16"/>
    <w:rsid w:val="009D6952"/>
    <w:rsid w:val="009E068F"/>
    <w:rsid w:val="009E1B89"/>
    <w:rsid w:val="009E619C"/>
    <w:rsid w:val="009E7020"/>
    <w:rsid w:val="009E7045"/>
    <w:rsid w:val="009E748B"/>
    <w:rsid w:val="009F2244"/>
    <w:rsid w:val="009F3D12"/>
    <w:rsid w:val="00A00E96"/>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42B8"/>
    <w:rsid w:val="00A54719"/>
    <w:rsid w:val="00A612B9"/>
    <w:rsid w:val="00A66B14"/>
    <w:rsid w:val="00A66CF8"/>
    <w:rsid w:val="00A727DA"/>
    <w:rsid w:val="00A74F48"/>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B049C"/>
    <w:rsid w:val="00AB1D7B"/>
    <w:rsid w:val="00AB1EA3"/>
    <w:rsid w:val="00AB3399"/>
    <w:rsid w:val="00AB3D67"/>
    <w:rsid w:val="00AC4276"/>
    <w:rsid w:val="00AC464D"/>
    <w:rsid w:val="00AC51E8"/>
    <w:rsid w:val="00AD0CA9"/>
    <w:rsid w:val="00AD2407"/>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2666"/>
    <w:rsid w:val="00B126DA"/>
    <w:rsid w:val="00B15903"/>
    <w:rsid w:val="00B166C8"/>
    <w:rsid w:val="00B23604"/>
    <w:rsid w:val="00B2566A"/>
    <w:rsid w:val="00B41694"/>
    <w:rsid w:val="00B425D5"/>
    <w:rsid w:val="00B427B9"/>
    <w:rsid w:val="00B43371"/>
    <w:rsid w:val="00B44CA2"/>
    <w:rsid w:val="00B454AE"/>
    <w:rsid w:val="00B52464"/>
    <w:rsid w:val="00B55453"/>
    <w:rsid w:val="00B55CF3"/>
    <w:rsid w:val="00B670CE"/>
    <w:rsid w:val="00B67B79"/>
    <w:rsid w:val="00B67E74"/>
    <w:rsid w:val="00B82234"/>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6CFB"/>
    <w:rsid w:val="00BE2902"/>
    <w:rsid w:val="00BE42CB"/>
    <w:rsid w:val="00BE6162"/>
    <w:rsid w:val="00BE6C9C"/>
    <w:rsid w:val="00BF37B7"/>
    <w:rsid w:val="00BF5C82"/>
    <w:rsid w:val="00BF7A5E"/>
    <w:rsid w:val="00C0085D"/>
    <w:rsid w:val="00C00E47"/>
    <w:rsid w:val="00C010AA"/>
    <w:rsid w:val="00C013EF"/>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622"/>
    <w:rsid w:val="00C54982"/>
    <w:rsid w:val="00C54B46"/>
    <w:rsid w:val="00C55B71"/>
    <w:rsid w:val="00C621A1"/>
    <w:rsid w:val="00C63153"/>
    <w:rsid w:val="00C63CB8"/>
    <w:rsid w:val="00C65327"/>
    <w:rsid w:val="00C67382"/>
    <w:rsid w:val="00C72471"/>
    <w:rsid w:val="00C8086B"/>
    <w:rsid w:val="00C82D97"/>
    <w:rsid w:val="00C84D14"/>
    <w:rsid w:val="00C9369C"/>
    <w:rsid w:val="00C93EDD"/>
    <w:rsid w:val="00C953EF"/>
    <w:rsid w:val="00C953F6"/>
    <w:rsid w:val="00CA0363"/>
    <w:rsid w:val="00CA06A4"/>
    <w:rsid w:val="00CA501F"/>
    <w:rsid w:val="00CA59FA"/>
    <w:rsid w:val="00CA61CF"/>
    <w:rsid w:val="00CB1749"/>
    <w:rsid w:val="00CB3A9F"/>
    <w:rsid w:val="00CB5048"/>
    <w:rsid w:val="00CC10DA"/>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5CA2"/>
    <w:rsid w:val="00D26BCB"/>
    <w:rsid w:val="00D275C6"/>
    <w:rsid w:val="00D27639"/>
    <w:rsid w:val="00D41A51"/>
    <w:rsid w:val="00D42DFD"/>
    <w:rsid w:val="00D45E14"/>
    <w:rsid w:val="00D4755C"/>
    <w:rsid w:val="00D52834"/>
    <w:rsid w:val="00D544FE"/>
    <w:rsid w:val="00D5596F"/>
    <w:rsid w:val="00D56F3F"/>
    <w:rsid w:val="00D61F13"/>
    <w:rsid w:val="00D672D6"/>
    <w:rsid w:val="00D67D4A"/>
    <w:rsid w:val="00D70B9D"/>
    <w:rsid w:val="00D72B46"/>
    <w:rsid w:val="00D75D2E"/>
    <w:rsid w:val="00D806A3"/>
    <w:rsid w:val="00D81BAC"/>
    <w:rsid w:val="00D83149"/>
    <w:rsid w:val="00D83173"/>
    <w:rsid w:val="00D8380A"/>
    <w:rsid w:val="00D85273"/>
    <w:rsid w:val="00D90CC5"/>
    <w:rsid w:val="00D92C6A"/>
    <w:rsid w:val="00DA12AB"/>
    <w:rsid w:val="00DB3689"/>
    <w:rsid w:val="00DB3767"/>
    <w:rsid w:val="00DB39E0"/>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521EE"/>
    <w:rsid w:val="00E62790"/>
    <w:rsid w:val="00E62B3D"/>
    <w:rsid w:val="00E6315A"/>
    <w:rsid w:val="00E65E86"/>
    <w:rsid w:val="00E71B00"/>
    <w:rsid w:val="00E73C7F"/>
    <w:rsid w:val="00E740D9"/>
    <w:rsid w:val="00E8224F"/>
    <w:rsid w:val="00E853FB"/>
    <w:rsid w:val="00E85E3C"/>
    <w:rsid w:val="00E943EE"/>
    <w:rsid w:val="00EA0385"/>
    <w:rsid w:val="00EA3791"/>
    <w:rsid w:val="00EA4D0C"/>
    <w:rsid w:val="00EA4E53"/>
    <w:rsid w:val="00EA6259"/>
    <w:rsid w:val="00EA63A0"/>
    <w:rsid w:val="00EA7720"/>
    <w:rsid w:val="00EA7F21"/>
    <w:rsid w:val="00EB1663"/>
    <w:rsid w:val="00EB4324"/>
    <w:rsid w:val="00EB6B41"/>
    <w:rsid w:val="00EC1D1E"/>
    <w:rsid w:val="00EC465B"/>
    <w:rsid w:val="00EC5A04"/>
    <w:rsid w:val="00EC7D8F"/>
    <w:rsid w:val="00EC7E1A"/>
    <w:rsid w:val="00ED09F7"/>
    <w:rsid w:val="00ED0F55"/>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25BEF"/>
    <w:rsid w:val="00F270BA"/>
    <w:rsid w:val="00F308AF"/>
    <w:rsid w:val="00F32911"/>
    <w:rsid w:val="00F337F8"/>
    <w:rsid w:val="00F3464D"/>
    <w:rsid w:val="00F36774"/>
    <w:rsid w:val="00F405D4"/>
    <w:rsid w:val="00F40AA9"/>
    <w:rsid w:val="00F40C50"/>
    <w:rsid w:val="00F4100B"/>
    <w:rsid w:val="00F43D26"/>
    <w:rsid w:val="00F46B8B"/>
    <w:rsid w:val="00F47660"/>
    <w:rsid w:val="00F507DB"/>
    <w:rsid w:val="00F5236F"/>
    <w:rsid w:val="00F52C7A"/>
    <w:rsid w:val="00F52E89"/>
    <w:rsid w:val="00F544AB"/>
    <w:rsid w:val="00F5653F"/>
    <w:rsid w:val="00F56A1B"/>
    <w:rsid w:val="00F6079F"/>
    <w:rsid w:val="00F64EA5"/>
    <w:rsid w:val="00F66A3D"/>
    <w:rsid w:val="00F66DF3"/>
    <w:rsid w:val="00F67AB2"/>
    <w:rsid w:val="00F73D21"/>
    <w:rsid w:val="00F74ED0"/>
    <w:rsid w:val="00F75B44"/>
    <w:rsid w:val="00F83593"/>
    <w:rsid w:val="00F837F7"/>
    <w:rsid w:val="00F90E30"/>
    <w:rsid w:val="00F917E4"/>
    <w:rsid w:val="00F91B00"/>
    <w:rsid w:val="00F9424D"/>
    <w:rsid w:val="00F94DFC"/>
    <w:rsid w:val="00F96BAD"/>
    <w:rsid w:val="00FA34B5"/>
    <w:rsid w:val="00FB0158"/>
    <w:rsid w:val="00FB16BC"/>
    <w:rsid w:val="00FB25A0"/>
    <w:rsid w:val="00FB2D7C"/>
    <w:rsid w:val="00FB4F37"/>
    <w:rsid w:val="00FB79F1"/>
    <w:rsid w:val="00FB7E5A"/>
    <w:rsid w:val="00FC6E54"/>
    <w:rsid w:val="00FD33A2"/>
    <w:rsid w:val="00FD6206"/>
    <w:rsid w:val="00FE09E7"/>
    <w:rsid w:val="00FE2161"/>
    <w:rsid w:val="00FE58B6"/>
    <w:rsid w:val="00FE7430"/>
    <w:rsid w:val="00FF0471"/>
    <w:rsid w:val="00FF0AAD"/>
    <w:rsid w:val="00FF29CE"/>
    <w:rsid w:val="00FF2E7C"/>
    <w:rsid w:val="00FF33F4"/>
    <w:rsid w:val="01124E01"/>
    <w:rsid w:val="02787508"/>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771801"/>
    <w:rsid w:val="07825B13"/>
    <w:rsid w:val="07864148"/>
    <w:rsid w:val="07AE0C6B"/>
    <w:rsid w:val="07CE088B"/>
    <w:rsid w:val="085636D7"/>
    <w:rsid w:val="08B665B2"/>
    <w:rsid w:val="09184A61"/>
    <w:rsid w:val="09666D44"/>
    <w:rsid w:val="09E87293"/>
    <w:rsid w:val="09F42949"/>
    <w:rsid w:val="0ADA27AB"/>
    <w:rsid w:val="0B233C4C"/>
    <w:rsid w:val="0B3A2C1A"/>
    <w:rsid w:val="0B8E6116"/>
    <w:rsid w:val="0C085429"/>
    <w:rsid w:val="0C767CD3"/>
    <w:rsid w:val="0CB302D0"/>
    <w:rsid w:val="0CD63978"/>
    <w:rsid w:val="0CFF2AF0"/>
    <w:rsid w:val="0D903FA1"/>
    <w:rsid w:val="0D9F789E"/>
    <w:rsid w:val="0E6675E9"/>
    <w:rsid w:val="0E7304E4"/>
    <w:rsid w:val="0F0670A0"/>
    <w:rsid w:val="0F117F9B"/>
    <w:rsid w:val="0F292443"/>
    <w:rsid w:val="0FDD0A05"/>
    <w:rsid w:val="0FF22E1E"/>
    <w:rsid w:val="107C1538"/>
    <w:rsid w:val="10D00944"/>
    <w:rsid w:val="10E66856"/>
    <w:rsid w:val="121151DD"/>
    <w:rsid w:val="124E4F2B"/>
    <w:rsid w:val="13917374"/>
    <w:rsid w:val="13E205E1"/>
    <w:rsid w:val="148C2E3A"/>
    <w:rsid w:val="148D072E"/>
    <w:rsid w:val="15440243"/>
    <w:rsid w:val="155A6687"/>
    <w:rsid w:val="159B0B4F"/>
    <w:rsid w:val="159F10C6"/>
    <w:rsid w:val="15A16A04"/>
    <w:rsid w:val="16511444"/>
    <w:rsid w:val="1657778B"/>
    <w:rsid w:val="171159BC"/>
    <w:rsid w:val="17AE3625"/>
    <w:rsid w:val="180F6274"/>
    <w:rsid w:val="18690CFB"/>
    <w:rsid w:val="18925987"/>
    <w:rsid w:val="18AE4818"/>
    <w:rsid w:val="191B3FEB"/>
    <w:rsid w:val="19B53C17"/>
    <w:rsid w:val="19B84071"/>
    <w:rsid w:val="19D81B97"/>
    <w:rsid w:val="19DD310A"/>
    <w:rsid w:val="1A5646A0"/>
    <w:rsid w:val="1AFD26C7"/>
    <w:rsid w:val="1B1962E0"/>
    <w:rsid w:val="1B6E36D8"/>
    <w:rsid w:val="1BAD79A0"/>
    <w:rsid w:val="1BD8329B"/>
    <w:rsid w:val="1BFE2EE5"/>
    <w:rsid w:val="1C687840"/>
    <w:rsid w:val="1CBC410B"/>
    <w:rsid w:val="1CFD6B5F"/>
    <w:rsid w:val="1D60281E"/>
    <w:rsid w:val="1E9373AE"/>
    <w:rsid w:val="1F0767BC"/>
    <w:rsid w:val="1F7230F8"/>
    <w:rsid w:val="20027941"/>
    <w:rsid w:val="20582F06"/>
    <w:rsid w:val="205A1B67"/>
    <w:rsid w:val="211A1954"/>
    <w:rsid w:val="21440317"/>
    <w:rsid w:val="214D1CF0"/>
    <w:rsid w:val="224061F6"/>
    <w:rsid w:val="22515BB4"/>
    <w:rsid w:val="225D0863"/>
    <w:rsid w:val="22787D6E"/>
    <w:rsid w:val="22960D42"/>
    <w:rsid w:val="22AC71C4"/>
    <w:rsid w:val="22EB71DA"/>
    <w:rsid w:val="234C36DC"/>
    <w:rsid w:val="239E54D8"/>
    <w:rsid w:val="23CC2B77"/>
    <w:rsid w:val="242B5E7E"/>
    <w:rsid w:val="2451628F"/>
    <w:rsid w:val="24536F49"/>
    <w:rsid w:val="247A650D"/>
    <w:rsid w:val="25367D08"/>
    <w:rsid w:val="2542153C"/>
    <w:rsid w:val="254B0EBB"/>
    <w:rsid w:val="25757213"/>
    <w:rsid w:val="25AA01EC"/>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DEE23F6"/>
    <w:rsid w:val="2E9A0203"/>
    <w:rsid w:val="2E9C3162"/>
    <w:rsid w:val="2EAC79D3"/>
    <w:rsid w:val="2F10116D"/>
    <w:rsid w:val="2F1078C3"/>
    <w:rsid w:val="2F1F42E6"/>
    <w:rsid w:val="2FA04582"/>
    <w:rsid w:val="2FA73BC2"/>
    <w:rsid w:val="30906EDC"/>
    <w:rsid w:val="30BC181C"/>
    <w:rsid w:val="30D7158A"/>
    <w:rsid w:val="311C6F65"/>
    <w:rsid w:val="31451BE8"/>
    <w:rsid w:val="31BC3471"/>
    <w:rsid w:val="31F51D67"/>
    <w:rsid w:val="3274443B"/>
    <w:rsid w:val="33366343"/>
    <w:rsid w:val="335D01AB"/>
    <w:rsid w:val="33CE46B3"/>
    <w:rsid w:val="34035E02"/>
    <w:rsid w:val="34164647"/>
    <w:rsid w:val="349C563D"/>
    <w:rsid w:val="35137B68"/>
    <w:rsid w:val="355F7DEA"/>
    <w:rsid w:val="36314129"/>
    <w:rsid w:val="378E702D"/>
    <w:rsid w:val="37B164B2"/>
    <w:rsid w:val="37BD3193"/>
    <w:rsid w:val="37C65713"/>
    <w:rsid w:val="37E06357"/>
    <w:rsid w:val="38214920"/>
    <w:rsid w:val="38244D57"/>
    <w:rsid w:val="38313F24"/>
    <w:rsid w:val="38451A29"/>
    <w:rsid w:val="38487BE4"/>
    <w:rsid w:val="38AA67C6"/>
    <w:rsid w:val="39807CC0"/>
    <w:rsid w:val="39D626D1"/>
    <w:rsid w:val="39F30B3F"/>
    <w:rsid w:val="3A0557BB"/>
    <w:rsid w:val="3B2F0F23"/>
    <w:rsid w:val="3B360523"/>
    <w:rsid w:val="3B4D53CA"/>
    <w:rsid w:val="3D2F2092"/>
    <w:rsid w:val="3D704360"/>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F84F89"/>
    <w:rsid w:val="457A7B36"/>
    <w:rsid w:val="461850D9"/>
    <w:rsid w:val="464C7438"/>
    <w:rsid w:val="465002DF"/>
    <w:rsid w:val="47BA7497"/>
    <w:rsid w:val="47C90932"/>
    <w:rsid w:val="47CC43E5"/>
    <w:rsid w:val="480313B7"/>
    <w:rsid w:val="48A615D1"/>
    <w:rsid w:val="48C25B53"/>
    <w:rsid w:val="4999720E"/>
    <w:rsid w:val="49E06BA9"/>
    <w:rsid w:val="4A6B42BA"/>
    <w:rsid w:val="4A78750E"/>
    <w:rsid w:val="4AA15971"/>
    <w:rsid w:val="4AF063BB"/>
    <w:rsid w:val="4B03481E"/>
    <w:rsid w:val="4B1F4A36"/>
    <w:rsid w:val="4B2007E0"/>
    <w:rsid w:val="4B26478F"/>
    <w:rsid w:val="4CC4425D"/>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503F1BBD"/>
    <w:rsid w:val="505D60F8"/>
    <w:rsid w:val="509E51F9"/>
    <w:rsid w:val="50DC5240"/>
    <w:rsid w:val="513A38F8"/>
    <w:rsid w:val="518642B9"/>
    <w:rsid w:val="52997015"/>
    <w:rsid w:val="52EF7AFD"/>
    <w:rsid w:val="53785995"/>
    <w:rsid w:val="53A95C18"/>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9C3CA4"/>
    <w:rsid w:val="61084ACE"/>
    <w:rsid w:val="61340F95"/>
    <w:rsid w:val="616E1858"/>
    <w:rsid w:val="61771608"/>
    <w:rsid w:val="624124FD"/>
    <w:rsid w:val="62B54036"/>
    <w:rsid w:val="63BB73BA"/>
    <w:rsid w:val="63CB5BC3"/>
    <w:rsid w:val="642B07CD"/>
    <w:rsid w:val="64E50EAD"/>
    <w:rsid w:val="65984F3F"/>
    <w:rsid w:val="659D6455"/>
    <w:rsid w:val="659E3CB8"/>
    <w:rsid w:val="65B277EC"/>
    <w:rsid w:val="65F73C65"/>
    <w:rsid w:val="66175F6C"/>
    <w:rsid w:val="661C019A"/>
    <w:rsid w:val="668F2C57"/>
    <w:rsid w:val="6694541D"/>
    <w:rsid w:val="66A10B7C"/>
    <w:rsid w:val="66B90322"/>
    <w:rsid w:val="66D30702"/>
    <w:rsid w:val="66D400FB"/>
    <w:rsid w:val="6742197E"/>
    <w:rsid w:val="67655F5B"/>
    <w:rsid w:val="676F688E"/>
    <w:rsid w:val="678A14A8"/>
    <w:rsid w:val="67DF35FD"/>
    <w:rsid w:val="68F93924"/>
    <w:rsid w:val="69514322"/>
    <w:rsid w:val="69797C2C"/>
    <w:rsid w:val="69CB3D72"/>
    <w:rsid w:val="69D04AC7"/>
    <w:rsid w:val="6A2D32EF"/>
    <w:rsid w:val="6A667D8E"/>
    <w:rsid w:val="6B095FA5"/>
    <w:rsid w:val="6B5758E6"/>
    <w:rsid w:val="6C272137"/>
    <w:rsid w:val="6CA14A31"/>
    <w:rsid w:val="6CA73C88"/>
    <w:rsid w:val="6CA87341"/>
    <w:rsid w:val="6CD616AD"/>
    <w:rsid w:val="6D1B16C6"/>
    <w:rsid w:val="6D624BE1"/>
    <w:rsid w:val="6E4E5494"/>
    <w:rsid w:val="6E6A6492"/>
    <w:rsid w:val="6E85213C"/>
    <w:rsid w:val="6EF90FB6"/>
    <w:rsid w:val="6F372F1E"/>
    <w:rsid w:val="6F424DC6"/>
    <w:rsid w:val="704E3D33"/>
    <w:rsid w:val="70772371"/>
    <w:rsid w:val="70B268B6"/>
    <w:rsid w:val="70B646BA"/>
    <w:rsid w:val="70C80308"/>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96035D"/>
    <w:rsid w:val="76A01073"/>
    <w:rsid w:val="76C36392"/>
    <w:rsid w:val="76D60E19"/>
    <w:rsid w:val="76DD7FE4"/>
    <w:rsid w:val="76EB5347"/>
    <w:rsid w:val="76FF157D"/>
    <w:rsid w:val="779C2984"/>
    <w:rsid w:val="7885108A"/>
    <w:rsid w:val="78C14B13"/>
    <w:rsid w:val="79851225"/>
    <w:rsid w:val="79B652AC"/>
    <w:rsid w:val="7B097AF0"/>
    <w:rsid w:val="7B111AED"/>
    <w:rsid w:val="7B2B25E4"/>
    <w:rsid w:val="7B2C7FD0"/>
    <w:rsid w:val="7B466F0E"/>
    <w:rsid w:val="7B50168C"/>
    <w:rsid w:val="7B540F3A"/>
    <w:rsid w:val="7B855912"/>
    <w:rsid w:val="7BDC2F15"/>
    <w:rsid w:val="7BFD589C"/>
    <w:rsid w:val="7C883FC8"/>
    <w:rsid w:val="7CC176DD"/>
    <w:rsid w:val="7CEB4CF5"/>
    <w:rsid w:val="7D093ADB"/>
    <w:rsid w:val="7E6016B0"/>
    <w:rsid w:val="7E7839CB"/>
    <w:rsid w:val="7EB22AC9"/>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50" w:beforeLines="50"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30"/>
      <w:szCs w:val="44"/>
    </w:rPr>
  </w:style>
  <w:style w:type="paragraph" w:styleId="3">
    <w:name w:val="heading 2"/>
    <w:basedOn w:val="2"/>
    <w:next w:val="1"/>
    <w:link w:val="70"/>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1"/>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282"/>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5"/>
    <w:next w:val="1"/>
    <w:link w:val="281"/>
    <w:qFormat/>
    <w:uiPriority w:val="0"/>
    <w:pPr>
      <w:tabs>
        <w:tab w:val="left" w:pos="1008"/>
        <w:tab w:val="left" w:pos="2383"/>
        <w:tab w:val="clear" w:pos="864"/>
        <w:tab w:val="clear" w:pos="2071"/>
      </w:tabs>
      <w:ind w:left="2196"/>
      <w:outlineLvl w:val="4"/>
    </w:p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annotation subject"/>
    <w:basedOn w:val="13"/>
    <w:next w:val="13"/>
    <w:link w:val="91"/>
    <w:semiHidden/>
    <w:qFormat/>
    <w:uiPriority w:val="0"/>
    <w:pPr>
      <w:widowControl/>
      <w:spacing w:before="40"/>
    </w:pPr>
    <w:rPr>
      <w:rFonts w:ascii="Arial" w:hAnsi="Arial" w:eastAsia="MS Mincho"/>
      <w:b/>
      <w:bCs/>
      <w:kern w:val="0"/>
      <w:sz w:val="20"/>
      <w:szCs w:val="20"/>
      <w:lang w:val="en-GB" w:eastAsia="en-GB"/>
    </w:rPr>
  </w:style>
  <w:style w:type="paragraph" w:styleId="13">
    <w:name w:val="annotation text"/>
    <w:basedOn w:val="1"/>
    <w:link w:val="175"/>
    <w:unhideWhenUsed/>
    <w:qFormat/>
    <w:uiPriority w:val="0"/>
    <w:pPr>
      <w:jc w:val="left"/>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89"/>
    <w:qFormat/>
    <w:uiPriority w:val="0"/>
    <w:pPr>
      <w:spacing w:before="152"/>
    </w:pPr>
    <w:rPr>
      <w:rFonts w:ascii="Arial" w:hAnsi="Arial"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68"/>
    <w:unhideWhenUsed/>
    <w:qFormat/>
    <w:uiPriority w:val="0"/>
    <w:rPr>
      <w:rFonts w:ascii="宋体"/>
      <w:sz w:val="18"/>
      <w:szCs w:val="18"/>
    </w:r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8">
    <w:name w:val="List 2"/>
    <w:basedOn w:val="1"/>
    <w:unhideWhenUsed/>
    <w:qFormat/>
    <w:uiPriority w:val="0"/>
    <w:pPr>
      <w:ind w:left="100" w:leftChars="200" w:hanging="200" w:hangingChars="200"/>
      <w:contextualSpacing/>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2"/>
    <w:qFormat/>
    <w:uiPriority w:val="0"/>
    <w:pPr>
      <w:snapToGrid w:val="0"/>
      <w:jc w:val="left"/>
    </w:pPr>
  </w:style>
  <w:style w:type="paragraph" w:styleId="37">
    <w:name w:val="Balloon Text"/>
    <w:basedOn w:val="1"/>
    <w:link w:val="66"/>
    <w:unhideWhenUsed/>
    <w:qFormat/>
    <w:uiPriority w:val="0"/>
    <w:rPr>
      <w:sz w:val="18"/>
      <w:szCs w:val="18"/>
    </w:rPr>
  </w:style>
  <w:style w:type="paragraph" w:styleId="38">
    <w:name w:val="footer"/>
    <w:basedOn w:val="1"/>
    <w:link w:val="112"/>
    <w:qFormat/>
    <w:uiPriority w:val="99"/>
    <w:pPr>
      <w:tabs>
        <w:tab w:val="center" w:pos="4153"/>
        <w:tab w:val="right" w:pos="8306"/>
      </w:tabs>
      <w:snapToGrid w:val="0"/>
      <w:jc w:val="left"/>
    </w:pPr>
    <w:rPr>
      <w:sz w:val="18"/>
      <w:szCs w:val="18"/>
    </w:rPr>
  </w:style>
  <w:style w:type="paragraph" w:styleId="39">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49"/>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endnote reference"/>
    <w:basedOn w:val="56"/>
    <w:qFormat/>
    <w:uiPriority w:val="0"/>
    <w:rPr>
      <w:vertAlign w:val="superscript"/>
    </w:rPr>
  </w:style>
  <w:style w:type="character" w:styleId="58">
    <w:name w:val="page number"/>
    <w:basedOn w:val="56"/>
    <w:qFormat/>
    <w:uiPriority w:val="0"/>
  </w:style>
  <w:style w:type="character" w:styleId="59">
    <w:name w:val="FollowedHyperlink"/>
    <w:basedOn w:val="56"/>
    <w:qFormat/>
    <w:uiPriority w:val="0"/>
    <w:rPr>
      <w:color w:val="800080"/>
      <w:u w:val="single"/>
    </w:rPr>
  </w:style>
  <w:style w:type="character" w:styleId="60">
    <w:name w:val="Emphasis"/>
    <w:qFormat/>
    <w:uiPriority w:val="0"/>
    <w:rPr>
      <w:i/>
      <w:iCs/>
    </w:rPr>
  </w:style>
  <w:style w:type="character" w:styleId="61">
    <w:name w:val="Hyperlink"/>
    <w:basedOn w:val="56"/>
    <w:qFormat/>
    <w:uiPriority w:val="99"/>
    <w:rPr>
      <w:color w:val="0000FF"/>
      <w:spacing w:val="0"/>
      <w:w w:val="100"/>
      <w:szCs w:val="21"/>
      <w:u w:val="single"/>
      <w:lang w:val="en-US" w:eastAsia="zh-CN"/>
    </w:rPr>
  </w:style>
  <w:style w:type="character" w:styleId="62">
    <w:name w:val="annotation reference"/>
    <w:qFormat/>
    <w:uiPriority w:val="0"/>
    <w:rPr>
      <w:sz w:val="16"/>
    </w:rPr>
  </w:style>
  <w:style w:type="character" w:styleId="63">
    <w:name w:val="footnote reference"/>
    <w:basedOn w:val="56"/>
    <w:qFormat/>
    <w:uiPriority w:val="0"/>
    <w:rPr>
      <w:vertAlign w:val="superscript"/>
    </w:rPr>
  </w:style>
  <w:style w:type="table" w:styleId="65">
    <w:name w:val="Table Grid"/>
    <w:basedOn w:val="6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66">
    <w:name w:val="Balloon Text Char"/>
    <w:basedOn w:val="56"/>
    <w:link w:val="37"/>
    <w:qFormat/>
    <w:uiPriority w:val="0"/>
    <w:rPr>
      <w:kern w:val="2"/>
      <w:sz w:val="18"/>
      <w:szCs w:val="18"/>
    </w:rPr>
  </w:style>
  <w:style w:type="paragraph" w:customStyle="1" w:styleId="67">
    <w:name w:val="List Paragraph1"/>
    <w:basedOn w:val="1"/>
    <w:link w:val="272"/>
    <w:unhideWhenUsed/>
    <w:qFormat/>
    <w:uiPriority w:val="99"/>
    <w:pPr>
      <w:ind w:firstLine="420" w:firstLineChars="200"/>
    </w:pPr>
  </w:style>
  <w:style w:type="character" w:customStyle="1" w:styleId="68">
    <w:name w:val="Document Map Char"/>
    <w:basedOn w:val="56"/>
    <w:link w:val="25"/>
    <w:qFormat/>
    <w:uiPriority w:val="0"/>
    <w:rPr>
      <w:rFonts w:ascii="宋体"/>
      <w:kern w:val="2"/>
      <w:sz w:val="18"/>
      <w:szCs w:val="18"/>
    </w:rPr>
  </w:style>
  <w:style w:type="character" w:customStyle="1" w:styleId="69">
    <w:name w:val="Heading 1 Char"/>
    <w:basedOn w:val="56"/>
    <w:link w:val="2"/>
    <w:qFormat/>
    <w:uiPriority w:val="0"/>
    <w:rPr>
      <w:rFonts w:eastAsiaTheme="minorEastAsia"/>
      <w:b/>
      <w:bCs/>
      <w:kern w:val="44"/>
      <w:sz w:val="30"/>
      <w:szCs w:val="44"/>
    </w:rPr>
  </w:style>
  <w:style w:type="character" w:customStyle="1" w:styleId="70">
    <w:name w:val="Heading 2 Char"/>
    <w:basedOn w:val="56"/>
    <w:link w:val="3"/>
    <w:qFormat/>
    <w:uiPriority w:val="0"/>
    <w:rPr>
      <w:rFonts w:ascii="Arial" w:hAnsi="Arial" w:eastAsia="MS Mincho"/>
      <w:sz w:val="32"/>
      <w:szCs w:val="32"/>
      <w:lang w:val="en-GB"/>
    </w:rPr>
  </w:style>
  <w:style w:type="character" w:customStyle="1" w:styleId="71">
    <w:name w:val="Heading 3 Char"/>
    <w:basedOn w:val="56"/>
    <w:link w:val="4"/>
    <w:qFormat/>
    <w:uiPriority w:val="0"/>
    <w:rPr>
      <w:b/>
      <w:bCs/>
      <w:kern w:val="2"/>
      <w:sz w:val="32"/>
      <w:szCs w:val="32"/>
    </w:rPr>
  </w:style>
  <w:style w:type="character" w:customStyle="1" w:styleId="72">
    <w:name w:val="Heading 4 Char"/>
    <w:basedOn w:val="56"/>
    <w:link w:val="5"/>
    <w:qFormat/>
    <w:uiPriority w:val="0"/>
    <w:rPr>
      <w:rFonts w:ascii="Arial" w:hAnsi="Arial" w:eastAsia="黑体"/>
      <w:b/>
      <w:kern w:val="2"/>
      <w:sz w:val="28"/>
      <w:szCs w:val="24"/>
    </w:rPr>
  </w:style>
  <w:style w:type="character" w:customStyle="1" w:styleId="73">
    <w:name w:val="Heading 5 Char"/>
    <w:basedOn w:val="56"/>
    <w:link w:val="6"/>
    <w:qFormat/>
    <w:uiPriority w:val="0"/>
    <w:rPr>
      <w:b/>
      <w:kern w:val="2"/>
      <w:sz w:val="28"/>
      <w:szCs w:val="24"/>
    </w:rPr>
  </w:style>
  <w:style w:type="character" w:customStyle="1" w:styleId="74">
    <w:name w:val="Heading 6 Char"/>
    <w:basedOn w:val="56"/>
    <w:link w:val="7"/>
    <w:qFormat/>
    <w:uiPriority w:val="0"/>
    <w:rPr>
      <w:rFonts w:ascii="Arial" w:hAnsi="Arial" w:eastAsia="黑体"/>
      <w:b/>
      <w:kern w:val="2"/>
      <w:sz w:val="24"/>
      <w:szCs w:val="24"/>
    </w:rPr>
  </w:style>
  <w:style w:type="character" w:customStyle="1" w:styleId="75">
    <w:name w:val="Heading 7 Char"/>
    <w:basedOn w:val="56"/>
    <w:link w:val="8"/>
    <w:qFormat/>
    <w:uiPriority w:val="0"/>
    <w:rPr>
      <w:b/>
      <w:kern w:val="2"/>
      <w:sz w:val="24"/>
      <w:szCs w:val="24"/>
    </w:rPr>
  </w:style>
  <w:style w:type="character" w:customStyle="1" w:styleId="76">
    <w:name w:val="Heading 8 Char"/>
    <w:basedOn w:val="56"/>
    <w:link w:val="9"/>
    <w:qFormat/>
    <w:uiPriority w:val="0"/>
    <w:rPr>
      <w:rFonts w:ascii="Arial" w:hAnsi="Arial" w:eastAsia="黑体"/>
      <w:kern w:val="2"/>
      <w:sz w:val="24"/>
      <w:szCs w:val="24"/>
    </w:rPr>
  </w:style>
  <w:style w:type="character" w:customStyle="1" w:styleId="77">
    <w:name w:val="Heading 9 Char"/>
    <w:basedOn w:val="56"/>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3"/>
    <w:qFormat/>
    <w:uiPriority w:val="99"/>
    <w:rPr>
      <w:rFonts w:ascii="Arial" w:hAnsi="Arial" w:eastAsia="黑体" w:cs="Arial"/>
      <w:kern w:val="2"/>
    </w:rPr>
  </w:style>
  <w:style w:type="character" w:customStyle="1" w:styleId="90">
    <w:name w:val="标题 3 Char Char"/>
    <w:basedOn w:val="56"/>
    <w:qFormat/>
    <w:uiPriority w:val="0"/>
    <w:rPr>
      <w:b/>
      <w:bCs/>
      <w:kern w:val="2"/>
      <w:sz w:val="32"/>
      <w:szCs w:val="32"/>
    </w:rPr>
  </w:style>
  <w:style w:type="character" w:customStyle="1" w:styleId="91">
    <w:name w:val="Comment Subject Char"/>
    <w:basedOn w:val="92"/>
    <w:link w:val="12"/>
    <w:semiHidden/>
    <w:qFormat/>
    <w:uiPriority w:val="0"/>
    <w:rPr>
      <w:rFonts w:ascii="Arial" w:hAnsi="Arial" w:eastAsia="MS Mincho"/>
      <w:b/>
      <w:bCs/>
      <w:lang w:val="en-GB" w:eastAsia="en-GB"/>
    </w:rPr>
  </w:style>
  <w:style w:type="character" w:customStyle="1" w:styleId="92">
    <w:name w:val="批注文字 Char"/>
    <w:basedOn w:val="56"/>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7"/>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6"/>
    <w:link w:val="44"/>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28"/>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6"/>
    <w:qFormat/>
    <w:uiPriority w:val="0"/>
    <w:rPr>
      <w:b/>
      <w:bCs/>
      <w:kern w:val="44"/>
      <w:sz w:val="44"/>
      <w:szCs w:val="44"/>
    </w:rPr>
  </w:style>
  <w:style w:type="character" w:customStyle="1" w:styleId="110">
    <w:name w:val="Doc-title Char Char"/>
    <w:basedOn w:val="56"/>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8"/>
    <w:qFormat/>
    <w:uiPriority w:val="99"/>
    <w:rPr>
      <w:kern w:val="2"/>
      <w:sz w:val="18"/>
      <w:szCs w:val="18"/>
    </w:rPr>
  </w:style>
  <w:style w:type="character" w:customStyle="1" w:styleId="113">
    <w:name w:val="Placeholder Text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4"/>
    <w:next w:val="44"/>
    <w:link w:val="114"/>
    <w:qFormat/>
    <w:uiPriority w:val="0"/>
  </w:style>
  <w:style w:type="character" w:customStyle="1" w:styleId="116">
    <w:name w:val="Plain Text Char"/>
    <w:basedOn w:val="56"/>
    <w:link w:val="32"/>
    <w:qFormat/>
    <w:uiPriority w:val="99"/>
    <w:rPr>
      <w:rFonts w:ascii="Consolas" w:hAnsi="Consolas" w:eastAsia="Calibri"/>
      <w:sz w:val="21"/>
      <w:szCs w:val="21"/>
      <w:lang w:eastAsia="en-US"/>
    </w:rPr>
  </w:style>
  <w:style w:type="character" w:customStyle="1" w:styleId="117">
    <w:name w:val="首示例 Char Char"/>
    <w:basedOn w:val="56"/>
    <w:link w:val="118"/>
    <w:qFormat/>
    <w:uiPriority w:val="0"/>
    <w:rPr>
      <w:rFonts w:ascii="宋体" w:hAnsi="宋体"/>
      <w:kern w:val="2"/>
      <w:sz w:val="18"/>
      <w:szCs w:val="18"/>
    </w:rPr>
  </w:style>
  <w:style w:type="paragraph" w:customStyle="1" w:styleId="118">
    <w:name w:val="首示例"/>
    <w:next w:val="44"/>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6"/>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6"/>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9"/>
    <w:qFormat/>
    <w:uiPriority w:val="99"/>
    <w:rPr>
      <w:kern w:val="2"/>
      <w:sz w:val="18"/>
      <w:szCs w:val="18"/>
    </w:rPr>
  </w:style>
  <w:style w:type="character" w:customStyle="1" w:styleId="130">
    <w:name w:val="Doc-text2 Char Char"/>
    <w:basedOn w:val="56"/>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4"/>
    <w:qFormat/>
    <w:uiPriority w:val="0"/>
    <w:pPr>
      <w:outlineLvl w:val="4"/>
    </w:pPr>
  </w:style>
  <w:style w:type="paragraph" w:customStyle="1" w:styleId="143">
    <w:name w:val="二级条标题"/>
    <w:basedOn w:val="144"/>
    <w:next w:val="44"/>
    <w:qFormat/>
    <w:uiPriority w:val="0"/>
    <w:pPr>
      <w:spacing w:beforeLines="0" w:afterLines="0"/>
      <w:outlineLvl w:val="3"/>
    </w:pPr>
  </w:style>
  <w:style w:type="paragraph" w:customStyle="1" w:styleId="144">
    <w:name w:val="一级条标题"/>
    <w:next w:val="44"/>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4"/>
    <w:qFormat/>
    <w:uiPriority w:val="0"/>
    <w:pPr>
      <w:outlineLvl w:val="5"/>
    </w:pPr>
  </w:style>
  <w:style w:type="character" w:customStyle="1" w:styleId="149">
    <w:name w:val="Footnote Text Char"/>
    <w:basedOn w:val="56"/>
    <w:link w:val="45"/>
    <w:qFormat/>
    <w:uiPriority w:val="0"/>
    <w:rPr>
      <w:rFonts w:ascii="宋体"/>
      <w:kern w:val="2"/>
      <w:sz w:val="18"/>
      <w:szCs w:val="18"/>
    </w:rPr>
  </w:style>
  <w:style w:type="paragraph" w:customStyle="1" w:styleId="150">
    <w:name w:val="章标题"/>
    <w:next w:val="44"/>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4"/>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4"/>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4"/>
    <w:qFormat/>
    <w:uiPriority w:val="0"/>
    <w:pPr>
      <w:tabs>
        <w:tab w:val="left" w:pos="360"/>
        <w:tab w:val="left" w:pos="864"/>
        <w:tab w:val="left" w:pos="1008"/>
      </w:tabs>
      <w:outlineLvl w:val="5"/>
    </w:pPr>
  </w:style>
  <w:style w:type="paragraph" w:customStyle="1" w:styleId="156">
    <w:name w:val="附录三级条标题"/>
    <w:basedOn w:val="157"/>
    <w:next w:val="44"/>
    <w:qFormat/>
    <w:uiPriority w:val="0"/>
    <w:pPr>
      <w:tabs>
        <w:tab w:val="left" w:pos="360"/>
        <w:tab w:val="left" w:pos="864"/>
        <w:tab w:val="left" w:pos="1008"/>
      </w:tabs>
      <w:ind w:left="1008" w:hanging="1008"/>
      <w:outlineLvl w:val="4"/>
    </w:pPr>
  </w:style>
  <w:style w:type="paragraph" w:customStyle="1" w:styleId="157">
    <w:name w:val="附录二级条标题"/>
    <w:basedOn w:val="1"/>
    <w:next w:val="44"/>
    <w:qFormat/>
    <w:uiPriority w:val="0"/>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6"/>
    <w:semiHidden/>
    <w:qFormat/>
    <w:uiPriority w:val="0"/>
    <w:rPr>
      <w:rFonts w:ascii="宋体" w:hAnsi="Courier New" w:cs="Courier New"/>
      <w:kern w:val="2"/>
      <w:sz w:val="21"/>
      <w:szCs w:val="21"/>
    </w:rPr>
  </w:style>
  <w:style w:type="paragraph" w:customStyle="1" w:styleId="162">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4"/>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6"/>
    <w:link w:val="13"/>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6"/>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5"/>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6"/>
    <w:link w:val="36"/>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4"/>
    <w:next w:val="44"/>
    <w:qFormat/>
    <w:uiPriority w:val="0"/>
    <w:pPr>
      <w:ind w:firstLine="360"/>
    </w:pPr>
    <w:rPr>
      <w:sz w:val="18"/>
    </w:rPr>
  </w:style>
  <w:style w:type="paragraph" w:customStyle="1" w:styleId="201">
    <w:name w:val="图标脚注说明"/>
    <w:basedOn w:val="44"/>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4"/>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7"/>
    <w:qFormat/>
    <w:uiPriority w:val="0"/>
  </w:style>
  <w:style w:type="paragraph" w:customStyle="1" w:styleId="215">
    <w:name w:val="其他发布日期"/>
    <w:basedOn w:val="165"/>
    <w:qFormat/>
    <w:uiPriority w:val="0"/>
  </w:style>
  <w:style w:type="paragraph" w:customStyle="1" w:styleId="216">
    <w:name w:val="B4"/>
    <w:basedOn w:val="48"/>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4"/>
    <w:qFormat/>
    <w:uiPriority w:val="0"/>
    <w:pPr>
      <w:spacing w:line="14" w:lineRule="exact"/>
      <w:ind w:left="811" w:hanging="448"/>
      <w:jc w:val="center"/>
      <w:outlineLvl w:val="0"/>
    </w:pPr>
    <w:rPr>
      <w:color w:val="FFFFFF"/>
    </w:rPr>
  </w:style>
  <w:style w:type="paragraph" w:customStyle="1" w:styleId="221">
    <w:name w:val="附录图标题"/>
    <w:basedOn w:val="1"/>
    <w:next w:val="44"/>
    <w:qFormat/>
    <w:uiPriority w:val="0"/>
    <w:pPr>
      <w:tabs>
        <w:tab w:val="left" w:pos="363"/>
      </w:tabs>
      <w:spacing w:afterLines="50"/>
      <w:jc w:val="center"/>
    </w:pPr>
    <w:rPr>
      <w:rFonts w:ascii="黑体" w:eastAsia="黑体"/>
      <w:szCs w:val="21"/>
    </w:rPr>
  </w:style>
  <w:style w:type="paragraph" w:customStyle="1" w:styleId="222">
    <w:name w:val="附录标题"/>
    <w:basedOn w:val="44"/>
    <w:next w:val="44"/>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4"/>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4"/>
    <w:next w:val="44"/>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4"/>
    <w:qFormat/>
    <w:uiPriority w:val="0"/>
    <w:pPr>
      <w:tabs>
        <w:tab w:val="left" w:pos="180"/>
      </w:tabs>
      <w:spacing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List Paragraph Char"/>
    <w:link w:val="67"/>
    <w:qFormat/>
    <w:locked/>
    <w:uiPriority w:val="34"/>
    <w:rPr>
      <w:kern w:val="2"/>
      <w:sz w:val="21"/>
      <w:szCs w:val="24"/>
    </w:rPr>
  </w:style>
  <w:style w:type="character" w:customStyle="1" w:styleId="273">
    <w:name w:val="B3 Char"/>
    <w:basedOn w:val="56"/>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table" w:customStyle="1" w:styleId="277">
    <w:name w:val="Table Normal1"/>
    <w:basedOn w:val="64"/>
    <w:semiHidden/>
    <w:qFormat/>
    <w:uiPriority w:val="0"/>
    <w:pPr>
      <w:spacing w:after="0"/>
    </w:pPr>
    <w:rPr>
      <w:rFonts w:ascii="Calibri" w:hAnsi="Calibri" w:cs="Calibri"/>
    </w:rPr>
  </w:style>
  <w:style w:type="character" w:customStyle="1" w:styleId="278">
    <w:name w:val="NO Char"/>
    <w:basedOn w:val="56"/>
    <w:qFormat/>
    <w:uiPriority w:val="0"/>
    <w:rPr>
      <w:rFonts w:hint="default" w:ascii="Times New Roman" w:hAnsi="Times New Roman" w:eastAsia="Times New Roman" w:cs="Times New Roman"/>
    </w:rPr>
  </w:style>
  <w:style w:type="paragraph" w:customStyle="1" w:styleId="279">
    <w:name w:val="CR Cover Page"/>
    <w:qFormat/>
    <w:uiPriority w:val="0"/>
    <w:pPr>
      <w:spacing w:after="120" w:line="259" w:lineRule="auto"/>
    </w:pPr>
    <w:rPr>
      <w:rFonts w:ascii="Arial" w:hAnsi="Arial" w:eastAsia="宋体" w:cs="Times New Roman"/>
      <w:sz w:val="21"/>
      <w:szCs w:val="22"/>
      <w:lang w:val="en-GB" w:eastAsia="en-US" w:bidi="ar-SA"/>
    </w:rPr>
  </w:style>
  <w:style w:type="paragraph" w:styleId="280">
    <w:name w:val="List Paragraph"/>
    <w:basedOn w:val="1"/>
    <w:qFormat/>
    <w:uiPriority w:val="34"/>
    <w:pPr>
      <w:overflowPunct w:val="0"/>
      <w:autoSpaceDE w:val="0"/>
      <w:autoSpaceDN w:val="0"/>
      <w:adjustRightInd w:val="0"/>
      <w:spacing w:after="180"/>
      <w:ind w:left="720"/>
      <w:contextualSpacing/>
      <w:textAlignment w:val="baseline"/>
    </w:pPr>
    <w:rPr>
      <w:rFonts w:eastAsia="宋体"/>
      <w:szCs w:val="20"/>
      <w:lang w:eastAsia="ja-JP"/>
    </w:rPr>
  </w:style>
  <w:style w:type="character" w:customStyle="1" w:styleId="281">
    <w:name w:val="标题 5 Char"/>
    <w:basedOn w:val="56"/>
    <w:link w:val="6"/>
    <w:qFormat/>
    <w:uiPriority w:val="0"/>
    <w:rPr>
      <w:rFonts w:hint="default" w:ascii="Arial" w:hAnsi="Arial" w:eastAsia="Times New Roman" w:cs="Arial"/>
      <w:sz w:val="22"/>
    </w:rPr>
  </w:style>
  <w:style w:type="character" w:customStyle="1" w:styleId="282">
    <w:name w:val="标题 4 Char"/>
    <w:basedOn w:val="56"/>
    <w:link w:val="5"/>
    <w:qFormat/>
    <w:uiPriority w:val="0"/>
    <w:rPr>
      <w:rFonts w:ascii="Calibri Light" w:hAnsi="Calibri Light" w:eastAsia="等线 Light" w:cs="Times New Roman"/>
      <w:b/>
      <w:sz w:val="28"/>
      <w:szCs w:val="2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172D4C-C598-4EFA-8B8E-D6D3DC43F7A7}">
  <ds:schemaRefs/>
</ds:datastoreItem>
</file>

<file path=docProps/app.xml><?xml version="1.0" encoding="utf-8"?>
<Properties xmlns="http://schemas.openxmlformats.org/officeDocument/2006/extended-properties" xmlns:vt="http://schemas.openxmlformats.org/officeDocument/2006/docPropsVTypes">
  <Template>Normal</Template>
  <Pages>4</Pages>
  <Words>1117</Words>
  <Characters>6367</Characters>
  <Lines>53</Lines>
  <Paragraphs>14</Paragraphs>
  <TotalTime>5</TotalTime>
  <ScaleCrop>false</ScaleCrop>
  <LinksUpToDate>false</LinksUpToDate>
  <CharactersWithSpaces>7470</CharactersWithSpaces>
  <Application>WPS Office_11.1.0.7832_F1E327BC-269C-435d-A152-05C5408002CA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2017-09-06T12:59:00Z</dcterms:created>
  <dc:creator>10033860</dc:creator>
  <cp:lastModifiedBy>ZTE</cp:lastModifiedBy>
  <cp:lastPrinted>2113-01-01T00:00:00Z</cp:lastPrinted>
  <dcterms:modified xsi:type="dcterms:W3CDTF">2018-09-27T13:59:50Z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2052-11.1.0.7832</vt:lpwstr>
  </property>
</Properties>
</file>